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8D1DB5" w:rsidRPr="00484A24" w14:paraId="225B00A1"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D2C2A2D" w14:textId="77777777" w:rsidR="008D1DB5" w:rsidRPr="00484A24" w:rsidRDefault="008D1DB5" w:rsidP="003C4BF0">
            <w:pPr>
              <w:rPr>
                <w:rFonts w:ascii="TheSansOffice" w:hAnsi="TheSansOffice" w:cs="Arial"/>
                <w:b/>
                <w:bCs/>
                <w:sz w:val="32"/>
              </w:rPr>
            </w:pPr>
            <w:r w:rsidRPr="00484A24">
              <w:rPr>
                <w:rFonts w:ascii="TheSansOffice" w:hAnsi="TheSansOffice" w:cs="Arial"/>
                <w:b/>
                <w:bCs/>
                <w:sz w:val="32"/>
              </w:rPr>
              <w:t>Stammformblatt</w:t>
            </w:r>
          </w:p>
        </w:tc>
      </w:tr>
      <w:tr w:rsidR="008D1DB5" w:rsidRPr="00484A24" w14:paraId="17297E79"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33D2C5" w14:textId="77777777" w:rsidR="008D1DB5" w:rsidRPr="00484A24" w:rsidRDefault="008D1DB5" w:rsidP="003C4BF0">
            <w:pPr>
              <w:rPr>
                <w:rFonts w:ascii="TheSansOffice" w:hAnsi="TheSansOffice" w:cs="Arial"/>
                <w:b/>
                <w:bCs/>
              </w:rPr>
            </w:pPr>
            <w:r w:rsidRPr="00484A24">
              <w:rPr>
                <w:rFonts w:ascii="TheSansOffice" w:hAnsi="TheSansOffice" w:cs="Arial"/>
                <w:b/>
                <w:bCs/>
              </w:rPr>
              <w:t>Krankenhaus</w:t>
            </w:r>
          </w:p>
        </w:tc>
      </w:tr>
      <w:tr w:rsidR="008D1DB5" w:rsidRPr="00484A24" w14:paraId="6099542E"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DE5B68F" w14:textId="77777777" w:rsidR="008D1DB5" w:rsidRPr="00484A24" w:rsidRDefault="008D1DB5" w:rsidP="003C4BF0">
            <w:pPr>
              <w:rPr>
                <w:rFonts w:ascii="TheSansOffice" w:hAnsi="TheSansOffice" w:cs="Arial"/>
                <w:b/>
                <w:bCs/>
              </w:rPr>
            </w:pPr>
            <w:r w:rsidRPr="00484A24">
              <w:rPr>
                <w:rFonts w:ascii="TheSansOffice" w:hAnsi="TheSansOffice" w:cs="Arial"/>
                <w:b/>
                <w:bCs/>
              </w:rPr>
              <w:t>Anzeigename (nur für Datenportal):</w:t>
            </w:r>
          </w:p>
        </w:tc>
      </w:tr>
      <w:tr w:rsidR="008D1DB5" w:rsidRPr="00484A24" w14:paraId="177E662C"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753F4671"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8D1DB5" w:rsidRPr="00484A24" w14:paraId="2E24BAA4"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722690B" w14:textId="77777777" w:rsidR="008D1DB5" w:rsidRPr="00484A24" w:rsidRDefault="008D1DB5" w:rsidP="003C4BF0">
            <w:pPr>
              <w:rPr>
                <w:rFonts w:ascii="TheSansOffice" w:hAnsi="TheSansOffice" w:cs="Arial"/>
                <w:b/>
                <w:bCs/>
              </w:rPr>
            </w:pPr>
            <w:r w:rsidRPr="00484A24">
              <w:rPr>
                <w:rFonts w:ascii="TheSansOffice" w:hAnsi="TheSansOffice" w:cs="Arial"/>
                <w:b/>
                <w:bCs/>
              </w:rPr>
              <w:t>IK: *</w:t>
            </w:r>
          </w:p>
        </w:tc>
      </w:tr>
      <w:tr w:rsidR="008D1DB5" w:rsidRPr="00484A24" w14:paraId="22005515"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5218F1C8"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8D1DB5" w:rsidRPr="00484A24" w14:paraId="2925CBCA"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1CCCECA" w14:textId="77777777" w:rsidR="008D1DB5" w:rsidRPr="00484A24" w:rsidRDefault="008D1DB5" w:rsidP="008D1DB5">
            <w:pPr>
              <w:tabs>
                <w:tab w:val="left" w:pos="939"/>
              </w:tabs>
              <w:rPr>
                <w:rFonts w:ascii="TheSansOffice" w:hAnsi="TheSansOffice" w:cs="Arial"/>
                <w:b/>
                <w:bCs/>
              </w:rPr>
            </w:pPr>
            <w:r w:rsidRPr="00484A24">
              <w:rPr>
                <w:rFonts w:ascii="TheSansOffice" w:hAnsi="TheSansOffice" w:cs="Arial"/>
                <w:b/>
                <w:bCs/>
              </w:rPr>
              <w:t>Krankenhausname: *</w:t>
            </w:r>
          </w:p>
        </w:tc>
      </w:tr>
      <w:tr w:rsidR="008D1DB5" w:rsidRPr="00484A24" w14:paraId="07198519"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2A07C4E6"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8D1DB5" w:rsidRPr="00484A24" w14:paraId="069B329E"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13C5E1" w14:textId="77777777" w:rsidR="008D1DB5" w:rsidRPr="00484A24" w:rsidRDefault="008D1DB5" w:rsidP="008D1DB5">
            <w:pPr>
              <w:tabs>
                <w:tab w:val="left" w:pos="939"/>
              </w:tabs>
              <w:rPr>
                <w:rFonts w:ascii="TheSansOffice" w:hAnsi="TheSansOffice" w:cs="Arial"/>
                <w:b/>
                <w:bCs/>
              </w:rPr>
            </w:pPr>
            <w:r w:rsidRPr="00484A24">
              <w:rPr>
                <w:rFonts w:ascii="TheSansOffice" w:hAnsi="TheSansOffice" w:cs="Arial"/>
                <w:b/>
                <w:bCs/>
              </w:rPr>
              <w:t>Diese wird als An</w:t>
            </w:r>
            <w:r w:rsidR="00D156C7" w:rsidRPr="00484A24">
              <w:rPr>
                <w:rFonts w:ascii="TheSansOffice" w:hAnsi="TheSansOffice" w:cs="Arial"/>
                <w:b/>
                <w:bCs/>
              </w:rPr>
              <w:t>s</w:t>
            </w:r>
            <w:r w:rsidRPr="00484A24">
              <w:rPr>
                <w:rFonts w:ascii="TheSansOffice" w:hAnsi="TheSansOffice" w:cs="Arial"/>
                <w:b/>
                <w:bCs/>
              </w:rPr>
              <w:t>prechpartner vertreten durch</w:t>
            </w:r>
          </w:p>
        </w:tc>
      </w:tr>
      <w:tr w:rsidR="008D1DB5" w:rsidRPr="00484A24" w14:paraId="4A45FDC6" w14:textId="77777777" w:rsidTr="00C8220C">
        <w:tc>
          <w:tcPr>
            <w:tcW w:w="45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F17DD7" w14:textId="77777777" w:rsidR="008D1DB5" w:rsidRPr="00484A24" w:rsidRDefault="008D1DB5" w:rsidP="003C4BF0">
            <w:pPr>
              <w:rPr>
                <w:rFonts w:ascii="TheSansOffice" w:hAnsi="TheSansOffice" w:cs="Arial"/>
                <w:b/>
                <w:bCs/>
              </w:rPr>
            </w:pPr>
            <w:r w:rsidRPr="00484A24">
              <w:rPr>
                <w:rFonts w:ascii="TheSansOffice" w:hAnsi="TheSansOffice" w:cs="Arial"/>
                <w:b/>
                <w:bCs/>
              </w:rPr>
              <w:t>Anrede *</w:t>
            </w:r>
          </w:p>
        </w:tc>
        <w:tc>
          <w:tcPr>
            <w:tcW w:w="45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755B8C" w14:textId="77777777" w:rsidR="008D1DB5" w:rsidRPr="00484A24" w:rsidRDefault="008D1DB5" w:rsidP="003C4BF0">
            <w:pPr>
              <w:rPr>
                <w:rFonts w:ascii="TheSansOffice" w:hAnsi="TheSansOffice" w:cs="Arial"/>
                <w:b/>
                <w:bCs/>
              </w:rPr>
            </w:pPr>
            <w:r w:rsidRPr="00484A24">
              <w:rPr>
                <w:rFonts w:ascii="TheSansOffice" w:hAnsi="TheSansOffice" w:cs="Arial"/>
                <w:b/>
                <w:bCs/>
              </w:rPr>
              <w:t>Titel</w:t>
            </w:r>
          </w:p>
        </w:tc>
      </w:tr>
      <w:tr w:rsidR="008D1DB5" w:rsidRPr="00484A24" w14:paraId="5DFAF6B3" w14:textId="77777777" w:rsidTr="00C8220C">
        <w:tc>
          <w:tcPr>
            <w:tcW w:w="4531" w:type="dxa"/>
            <w:tcBorders>
              <w:top w:val="single" w:sz="4" w:space="0" w:color="auto"/>
              <w:left w:val="single" w:sz="4" w:space="0" w:color="auto"/>
              <w:bottom w:val="single" w:sz="4" w:space="0" w:color="auto"/>
              <w:right w:val="single" w:sz="4" w:space="0" w:color="auto"/>
            </w:tcBorders>
            <w:shd w:val="clear" w:color="auto" w:fill="auto"/>
          </w:tcPr>
          <w:p w14:paraId="7A256EC4"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9174D3E"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8D1DB5" w:rsidRPr="00484A24" w14:paraId="7821D44F"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D70D30" w14:textId="77777777" w:rsidR="008D1DB5" w:rsidRPr="00484A24" w:rsidRDefault="008D1DB5" w:rsidP="003C4BF0">
            <w:pPr>
              <w:rPr>
                <w:rFonts w:ascii="TheSansOffice" w:hAnsi="TheSansOffice" w:cs="Arial"/>
                <w:b/>
                <w:bCs/>
              </w:rPr>
            </w:pPr>
            <w:r w:rsidRPr="00484A24">
              <w:rPr>
                <w:rFonts w:ascii="TheSansOffice" w:hAnsi="TheSansOffice" w:cs="Arial"/>
                <w:b/>
                <w:bCs/>
              </w:rPr>
              <w:t>Vorname: *</w:t>
            </w:r>
          </w:p>
        </w:tc>
      </w:tr>
      <w:tr w:rsidR="008D1DB5" w:rsidRPr="00484A24" w14:paraId="1918782C"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44DACDDD"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8D1DB5" w:rsidRPr="00484A24" w14:paraId="1A44E0B9"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C6DE24" w14:textId="77777777" w:rsidR="008D1DB5" w:rsidRPr="00484A24" w:rsidRDefault="008D1DB5" w:rsidP="003C4BF0">
            <w:pPr>
              <w:rPr>
                <w:rFonts w:ascii="TheSansOffice" w:hAnsi="TheSansOffice" w:cs="Arial"/>
                <w:b/>
                <w:bCs/>
              </w:rPr>
            </w:pPr>
            <w:r w:rsidRPr="00484A24">
              <w:rPr>
                <w:rFonts w:ascii="TheSansOffice" w:hAnsi="TheSansOffice" w:cs="Arial"/>
                <w:b/>
                <w:bCs/>
              </w:rPr>
              <w:t>Name: *</w:t>
            </w:r>
          </w:p>
        </w:tc>
      </w:tr>
      <w:tr w:rsidR="008D1DB5" w:rsidRPr="00484A24" w14:paraId="15DB9E83"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5F6DE449"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8D1DB5" w:rsidRPr="00484A24" w14:paraId="725EA2E3"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55CC0D6" w14:textId="77777777" w:rsidR="008D1DB5" w:rsidRPr="00484A24" w:rsidRDefault="008D1DB5" w:rsidP="003C4BF0">
            <w:pPr>
              <w:rPr>
                <w:rFonts w:ascii="TheSansOffice" w:hAnsi="TheSansOffice" w:cs="Arial"/>
                <w:b/>
                <w:bCs/>
              </w:rPr>
            </w:pPr>
            <w:r w:rsidRPr="00484A24">
              <w:rPr>
                <w:rFonts w:ascii="TheSansOffice" w:hAnsi="TheSansOffice" w:cs="Arial"/>
                <w:b/>
                <w:bCs/>
              </w:rPr>
              <w:t>Abteilung:</w:t>
            </w:r>
          </w:p>
        </w:tc>
      </w:tr>
      <w:tr w:rsidR="008D1DB5" w:rsidRPr="00484A24" w14:paraId="7C194AB1"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339BD3CE"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8D1DB5" w:rsidRPr="00484A24" w14:paraId="27729379"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5365BA" w14:textId="77777777" w:rsidR="008D1DB5" w:rsidRPr="00484A24" w:rsidRDefault="008D1DB5" w:rsidP="003C4BF0">
            <w:pPr>
              <w:rPr>
                <w:rFonts w:ascii="TheSansOffice" w:hAnsi="TheSansOffice" w:cs="Arial"/>
                <w:b/>
                <w:bCs/>
              </w:rPr>
            </w:pPr>
            <w:r w:rsidRPr="00484A24">
              <w:rPr>
                <w:rFonts w:ascii="TheSansOffice" w:hAnsi="TheSansOffice" w:cs="Arial"/>
                <w:b/>
                <w:bCs/>
              </w:rPr>
              <w:t>Funktion: *</w:t>
            </w:r>
          </w:p>
        </w:tc>
      </w:tr>
      <w:tr w:rsidR="008D1DB5" w:rsidRPr="00484A24" w14:paraId="474E2A45"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71904905"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8D1DB5" w:rsidRPr="00484A24" w14:paraId="6ACC8392"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CB870CF" w14:textId="77777777" w:rsidR="008D1DB5" w:rsidRPr="00484A24" w:rsidRDefault="008D1DB5" w:rsidP="003C4BF0">
            <w:pPr>
              <w:rPr>
                <w:rFonts w:ascii="TheSansOffice" w:hAnsi="TheSansOffice" w:cs="Arial"/>
                <w:b/>
                <w:bCs/>
              </w:rPr>
            </w:pPr>
            <w:r w:rsidRPr="00484A24">
              <w:rPr>
                <w:rFonts w:ascii="TheSansOffice" w:hAnsi="TheSansOffice" w:cs="Arial"/>
                <w:b/>
                <w:bCs/>
              </w:rPr>
              <w:t>Straße: *</w:t>
            </w:r>
          </w:p>
        </w:tc>
      </w:tr>
      <w:tr w:rsidR="008D1DB5" w:rsidRPr="00484A24" w14:paraId="386BF488"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42E07817"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8D1DB5" w:rsidRPr="00484A24" w14:paraId="76C20CC7" w14:textId="77777777" w:rsidTr="00C8220C">
        <w:tc>
          <w:tcPr>
            <w:tcW w:w="45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090C7A5" w14:textId="77777777" w:rsidR="008D1DB5" w:rsidRPr="00484A24" w:rsidRDefault="008D1DB5" w:rsidP="003C4BF0">
            <w:pPr>
              <w:rPr>
                <w:rFonts w:ascii="TheSansOffice" w:hAnsi="TheSansOffice" w:cs="Arial"/>
                <w:b/>
                <w:bCs/>
              </w:rPr>
            </w:pPr>
            <w:r w:rsidRPr="00484A24">
              <w:rPr>
                <w:rFonts w:ascii="TheSansOffice" w:hAnsi="TheSansOffice" w:cs="Arial"/>
                <w:b/>
                <w:bCs/>
              </w:rPr>
              <w:t>PLZ: *</w:t>
            </w:r>
          </w:p>
        </w:tc>
        <w:tc>
          <w:tcPr>
            <w:tcW w:w="45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47CE4B" w14:textId="77777777" w:rsidR="008D1DB5" w:rsidRPr="00484A24" w:rsidRDefault="008D1DB5" w:rsidP="003C4BF0">
            <w:pPr>
              <w:rPr>
                <w:rFonts w:ascii="TheSansOffice" w:hAnsi="TheSansOffice" w:cs="Arial"/>
                <w:b/>
                <w:bCs/>
              </w:rPr>
            </w:pPr>
            <w:r w:rsidRPr="00484A24">
              <w:rPr>
                <w:rFonts w:ascii="TheSansOffice" w:hAnsi="TheSansOffice" w:cs="Arial"/>
                <w:b/>
                <w:bCs/>
              </w:rPr>
              <w:t>Ort: *</w:t>
            </w:r>
          </w:p>
        </w:tc>
      </w:tr>
      <w:tr w:rsidR="008D1DB5" w:rsidRPr="00484A24" w14:paraId="69FA4673" w14:textId="77777777" w:rsidTr="00C8220C">
        <w:tc>
          <w:tcPr>
            <w:tcW w:w="4531" w:type="dxa"/>
            <w:tcBorders>
              <w:top w:val="single" w:sz="4" w:space="0" w:color="auto"/>
              <w:left w:val="single" w:sz="4" w:space="0" w:color="auto"/>
              <w:bottom w:val="single" w:sz="4" w:space="0" w:color="auto"/>
              <w:right w:val="single" w:sz="4" w:space="0" w:color="auto"/>
            </w:tcBorders>
            <w:shd w:val="clear" w:color="auto" w:fill="auto"/>
          </w:tcPr>
          <w:p w14:paraId="0D71201D"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7E9A8B7"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FD7091" w:rsidRPr="00484A24" w14:paraId="0089EDEA" w14:textId="77777777" w:rsidTr="00C8220C">
        <w:tc>
          <w:tcPr>
            <w:tcW w:w="45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6D9F0A" w14:textId="77777777" w:rsidR="00FD7091" w:rsidRPr="00484A24" w:rsidRDefault="00FD7091" w:rsidP="003C4BF0">
            <w:pPr>
              <w:rPr>
                <w:rFonts w:ascii="TheSansOffice" w:hAnsi="TheSansOffice" w:cs="Arial"/>
                <w:b/>
                <w:bCs/>
              </w:rPr>
            </w:pPr>
            <w:r w:rsidRPr="00484A24">
              <w:rPr>
                <w:rFonts w:ascii="TheSansOffice" w:hAnsi="TheSansOffice" w:cs="Arial"/>
                <w:b/>
                <w:bCs/>
              </w:rPr>
              <w:t>Telefon: *</w:t>
            </w:r>
          </w:p>
        </w:tc>
        <w:tc>
          <w:tcPr>
            <w:tcW w:w="45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57B26BD" w14:textId="77777777" w:rsidR="00FD7091" w:rsidRPr="00484A24" w:rsidRDefault="00FD7091" w:rsidP="003C4BF0">
            <w:pPr>
              <w:rPr>
                <w:rFonts w:ascii="TheSansOffice" w:hAnsi="TheSansOffice" w:cs="Arial"/>
                <w:b/>
                <w:bCs/>
              </w:rPr>
            </w:pPr>
            <w:r w:rsidRPr="00484A24">
              <w:rPr>
                <w:rFonts w:ascii="TheSansOffice" w:hAnsi="TheSansOffice" w:cs="Arial"/>
                <w:b/>
                <w:bCs/>
              </w:rPr>
              <w:t>Telefax:</w:t>
            </w:r>
          </w:p>
        </w:tc>
      </w:tr>
      <w:tr w:rsidR="00FD7091" w:rsidRPr="00484A24" w14:paraId="71FE897F" w14:textId="77777777" w:rsidTr="00C8220C">
        <w:tc>
          <w:tcPr>
            <w:tcW w:w="4531" w:type="dxa"/>
            <w:tcBorders>
              <w:top w:val="single" w:sz="4" w:space="0" w:color="auto"/>
              <w:left w:val="single" w:sz="4" w:space="0" w:color="auto"/>
              <w:bottom w:val="single" w:sz="4" w:space="0" w:color="auto"/>
              <w:right w:val="single" w:sz="4" w:space="0" w:color="auto"/>
            </w:tcBorders>
            <w:shd w:val="clear" w:color="auto" w:fill="auto"/>
          </w:tcPr>
          <w:p w14:paraId="4678E7E6" w14:textId="77777777" w:rsidR="00FD7091"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7653DBF" w14:textId="77777777" w:rsidR="00FD7091"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8D1DB5" w:rsidRPr="00484A24" w14:paraId="59083E7E"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EDC76B" w14:textId="77777777" w:rsidR="008D1DB5" w:rsidRPr="00484A24" w:rsidRDefault="00FD7091" w:rsidP="003C4BF0">
            <w:pPr>
              <w:rPr>
                <w:rFonts w:ascii="TheSansOffice" w:hAnsi="TheSansOffice" w:cs="Arial"/>
                <w:b/>
                <w:bCs/>
              </w:rPr>
            </w:pPr>
            <w:r w:rsidRPr="00484A24">
              <w:rPr>
                <w:rFonts w:ascii="TheSansOffice" w:hAnsi="TheSansOffice" w:cs="Arial"/>
                <w:b/>
                <w:bCs/>
              </w:rPr>
              <w:t>E-Mail: *</w:t>
            </w:r>
          </w:p>
        </w:tc>
      </w:tr>
      <w:tr w:rsidR="008D1DB5" w:rsidRPr="00484A24" w14:paraId="6D667647"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2C5253D2" w14:textId="77777777" w:rsidR="008D1DB5" w:rsidRPr="00484A24" w:rsidRDefault="00DA62C1" w:rsidP="00C8220C">
            <w:pPr>
              <w:tabs>
                <w:tab w:val="left" w:pos="7125"/>
              </w:tabs>
              <w:rPr>
                <w:rFonts w:ascii="TheSansOffice" w:hAnsi="TheSansOffice" w:cs="Arial"/>
                <w:i/>
              </w:rPr>
            </w:pPr>
            <w:r w:rsidRPr="00484A24">
              <w:rPr>
                <w:rFonts w:ascii="TheSansOffice" w:hAnsi="TheSansOffice" w:cs="Arial"/>
                <w:i/>
              </w:rPr>
              <w:t>(Automatisch im Portal gefüllt aus Stammdaten Krankenhaus)</w:t>
            </w:r>
          </w:p>
        </w:tc>
      </w:tr>
      <w:tr w:rsidR="008D1DB5" w:rsidRPr="00484A24" w14:paraId="08E24CF1"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ED47D94" w14:textId="77777777" w:rsidR="008D1DB5" w:rsidRPr="00484A24" w:rsidRDefault="00FD7091" w:rsidP="003C4BF0">
            <w:pPr>
              <w:rPr>
                <w:rFonts w:ascii="TheSansOffice" w:hAnsi="TheSansOffice" w:cs="Arial"/>
                <w:b/>
                <w:bCs/>
              </w:rPr>
            </w:pPr>
            <w:r w:rsidRPr="00484A24">
              <w:rPr>
                <w:rFonts w:ascii="TheSansOffice" w:hAnsi="TheSansOffice" w:cs="Arial"/>
                <w:b/>
                <w:bCs/>
              </w:rPr>
              <w:t>Wird diese Anfrage durch Sie stellvertretend für mehrere Krankenhäuser Ihres Krankenhausverbundes gestellt? Wenn ja, geben Sie bitte die IK-Nummern an:</w:t>
            </w:r>
          </w:p>
        </w:tc>
      </w:tr>
      <w:tr w:rsidR="008D1DB5" w:rsidRPr="00484A24" w14:paraId="7C79819D"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6CAE798A" w14:textId="77777777" w:rsidR="008D1DB5" w:rsidRPr="00484A24" w:rsidRDefault="00DA62C1" w:rsidP="003C4BF0">
            <w:pPr>
              <w:rPr>
                <w:rFonts w:ascii="TheSansOffice" w:hAnsi="TheSansOffice" w:cs="Arial"/>
                <w:color w:val="C00000"/>
                <w:sz w:val="28"/>
              </w:rPr>
            </w:pPr>
            <w:r w:rsidRPr="00484A24">
              <w:rPr>
                <w:rFonts w:ascii="TheSansOffice" w:hAnsi="TheSansOffice" w:cs="Arial"/>
                <w:color w:val="C00000"/>
                <w:sz w:val="28"/>
              </w:rPr>
              <w:t>(Einzusetzen im Portal vom beantragenden Krankenhaus)</w:t>
            </w:r>
          </w:p>
        </w:tc>
      </w:tr>
      <w:tr w:rsidR="008D1DB5" w:rsidRPr="00484A24" w14:paraId="1253068C"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C6E662F" w14:textId="77777777" w:rsidR="008D1DB5" w:rsidRPr="00484A24" w:rsidRDefault="00FD7091" w:rsidP="003C4BF0">
            <w:pPr>
              <w:rPr>
                <w:rFonts w:ascii="TheSansOffice" w:hAnsi="TheSansOffice" w:cs="Arial"/>
                <w:b/>
                <w:bCs/>
              </w:rPr>
            </w:pPr>
            <w:r w:rsidRPr="00484A24">
              <w:rPr>
                <w:rFonts w:ascii="TheSansOffice" w:hAnsi="TheSansOffice" w:cs="Arial"/>
                <w:b/>
                <w:bCs/>
              </w:rPr>
              <w:t>Haben Sie externe Hilfestellungen zum Ausfüllen der Formblätter in Anspruch genommen? Wenn ja, geben Sie bitte an, welche Hilfestellung Sie in Anspruch genommen haben.</w:t>
            </w:r>
          </w:p>
        </w:tc>
        <w:bookmarkStart w:id="0" w:name="_GoBack"/>
        <w:bookmarkEnd w:id="0"/>
      </w:tr>
      <w:tr w:rsidR="008D1DB5" w:rsidRPr="00484A24" w14:paraId="20F267F5"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162EEACD" w14:textId="77777777" w:rsidR="008D1DB5" w:rsidRPr="00484A24" w:rsidRDefault="0063042A" w:rsidP="00101FC9">
            <w:pPr>
              <w:rPr>
                <w:rFonts w:ascii="TheSansOffice" w:hAnsi="TheSansOffice" w:cs="Arial"/>
                <w:b/>
                <w:bCs/>
              </w:rPr>
            </w:pPr>
            <w:r w:rsidRPr="00484A24">
              <w:rPr>
                <w:rFonts w:ascii="TheSansOffice" w:hAnsi="TheSansOffice"/>
              </w:rPr>
              <w:t xml:space="preserve">Ökonomische Berechnungen: </w:t>
            </w:r>
            <w:r>
              <w:rPr>
                <w:rFonts w:ascii="TheSansOffice" w:hAnsi="TheSansOffice"/>
              </w:rPr>
              <w:t>inspiring-health</w:t>
            </w:r>
            <w:r w:rsidRPr="00484A24">
              <w:rPr>
                <w:rFonts w:ascii="TheSansOffice" w:hAnsi="TheSansOffice"/>
              </w:rPr>
              <w:t xml:space="preserve"> GmbH</w:t>
            </w:r>
            <w:r w:rsidR="00101FC9">
              <w:rPr>
                <w:rFonts w:ascii="TheSansOffice" w:hAnsi="TheSansOffice"/>
              </w:rPr>
              <w:t>,</w:t>
            </w:r>
            <w:r w:rsidRPr="00484A24">
              <w:rPr>
                <w:rFonts w:ascii="TheSansOffice" w:hAnsi="TheSansOffice"/>
              </w:rPr>
              <w:t xml:space="preserve"> München</w:t>
            </w:r>
          </w:p>
        </w:tc>
      </w:tr>
      <w:tr w:rsidR="008D1DB5" w:rsidRPr="00484A24" w14:paraId="00A5306B"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E8ADF4C" w14:textId="77777777" w:rsidR="008D1DB5" w:rsidRPr="00484A24" w:rsidRDefault="00FD7091" w:rsidP="003C4BF0">
            <w:pPr>
              <w:rPr>
                <w:rFonts w:ascii="TheSansOffice" w:hAnsi="TheSansOffice" w:cs="Arial"/>
                <w:b/>
                <w:bCs/>
              </w:rPr>
            </w:pPr>
            <w:r w:rsidRPr="00484A24">
              <w:rPr>
                <w:rFonts w:ascii="TheSansOffice" w:hAnsi="TheSansOffice" w:cs="Arial"/>
                <w:b/>
                <w:bCs/>
              </w:rPr>
              <w:t>Kommentar (zur Verwendung durch Anfragesteller):</w:t>
            </w:r>
          </w:p>
        </w:tc>
      </w:tr>
      <w:tr w:rsidR="00FD7091" w:rsidRPr="00484A24" w14:paraId="7E198990" w14:textId="77777777" w:rsidTr="00C8220C">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5C3F2920" w14:textId="77777777" w:rsidR="00FD7091" w:rsidRPr="00484A24" w:rsidRDefault="00DA62C1" w:rsidP="003C4BF0">
            <w:pPr>
              <w:rPr>
                <w:rFonts w:ascii="TheSansOffice" w:hAnsi="TheSansOffice" w:cs="Arial"/>
                <w:color w:val="C00000"/>
                <w:sz w:val="28"/>
              </w:rPr>
            </w:pPr>
            <w:r w:rsidRPr="00484A24">
              <w:rPr>
                <w:rFonts w:ascii="TheSansOffice" w:hAnsi="TheSansOffice" w:cs="Arial"/>
                <w:color w:val="C00000"/>
                <w:sz w:val="28"/>
              </w:rPr>
              <w:t>(Einzusetzen im Portal vom beantragenden Krankenhaus)</w:t>
            </w:r>
          </w:p>
        </w:tc>
      </w:tr>
    </w:tbl>
    <w:p w14:paraId="34BF55EB" w14:textId="77777777" w:rsidR="00797026" w:rsidRDefault="00797026">
      <w:pPr>
        <w:rPr>
          <w:rFonts w:ascii="TheSansOffice" w:hAnsi="TheSansOffice"/>
        </w:rPr>
      </w:pPr>
      <w:r w:rsidRPr="00484A24">
        <w:rPr>
          <w:rFonts w:ascii="TheSansOffice" w:hAnsi="TheSansOffic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494"/>
      </w:tblGrid>
      <w:tr w:rsidR="008D1DB5" w:rsidRPr="00484A24" w14:paraId="35734EA2" w14:textId="77777777" w:rsidTr="00C8220C">
        <w:tc>
          <w:tcPr>
            <w:tcW w:w="9062" w:type="dxa"/>
            <w:gridSpan w:val="2"/>
            <w:shd w:val="clear" w:color="auto" w:fill="DAEEF3" w:themeFill="accent5" w:themeFillTint="33"/>
          </w:tcPr>
          <w:p w14:paraId="2B4FF4E9" w14:textId="77777777" w:rsidR="008D1DB5" w:rsidRPr="00484A24" w:rsidRDefault="00FD7091" w:rsidP="00724255">
            <w:pPr>
              <w:rPr>
                <w:rFonts w:ascii="TheSansOffice" w:hAnsi="TheSansOffice" w:cs="Arial"/>
                <w:b/>
                <w:bCs/>
              </w:rPr>
            </w:pPr>
            <w:r w:rsidRPr="00484A24">
              <w:rPr>
                <w:rFonts w:ascii="TheSansOffice" w:hAnsi="TheSansOffice" w:cs="Arial"/>
                <w:b/>
                <w:bCs/>
                <w:sz w:val="32"/>
              </w:rPr>
              <w:lastRenderedPageBreak/>
              <w:t>Beschreibung</w:t>
            </w:r>
          </w:p>
        </w:tc>
      </w:tr>
      <w:tr w:rsidR="00724255" w:rsidRPr="00484A24" w14:paraId="45346DF4" w14:textId="77777777" w:rsidTr="00C8220C">
        <w:tc>
          <w:tcPr>
            <w:tcW w:w="9062" w:type="dxa"/>
            <w:gridSpan w:val="2"/>
            <w:shd w:val="clear" w:color="auto" w:fill="DAEEF3" w:themeFill="accent5" w:themeFillTint="33"/>
          </w:tcPr>
          <w:p w14:paraId="239C7B57" w14:textId="77777777" w:rsidR="00724255" w:rsidRPr="00484A24" w:rsidRDefault="00724255" w:rsidP="005D0274">
            <w:pPr>
              <w:rPr>
                <w:rFonts w:ascii="TheSansOffice" w:hAnsi="TheSansOffice" w:cs="Arial"/>
                <w:b/>
                <w:bCs/>
              </w:rPr>
            </w:pPr>
            <w:r w:rsidRPr="00484A24">
              <w:rPr>
                <w:rFonts w:ascii="TheSansOffice" w:hAnsi="TheSansOffice" w:cs="Arial"/>
                <w:b/>
                <w:bCs/>
              </w:rPr>
              <w:t>Angefragte Untersuchungs- und Behandlungsmethode</w:t>
            </w:r>
            <w:r w:rsidR="005D0274" w:rsidRPr="00484A24">
              <w:rPr>
                <w:rFonts w:ascii="TheSansOffice" w:hAnsi="TheSansOffice" w:cs="Arial"/>
                <w:b/>
                <w:bCs/>
              </w:rPr>
              <w:t>*</w:t>
            </w:r>
          </w:p>
        </w:tc>
      </w:tr>
      <w:tr w:rsidR="00724255" w:rsidRPr="00484A24" w14:paraId="62720711" w14:textId="77777777" w:rsidTr="00C8220C">
        <w:tc>
          <w:tcPr>
            <w:tcW w:w="9062" w:type="dxa"/>
            <w:gridSpan w:val="2"/>
            <w:shd w:val="clear" w:color="auto" w:fill="auto"/>
          </w:tcPr>
          <w:p w14:paraId="08669515" w14:textId="77777777" w:rsidR="00724255" w:rsidRPr="00484A24" w:rsidRDefault="0012454C" w:rsidP="000A544B">
            <w:pPr>
              <w:rPr>
                <w:rFonts w:ascii="TheSansOffice" w:hAnsi="TheSansOffice" w:cs="Arial"/>
              </w:rPr>
            </w:pPr>
            <w:r w:rsidRPr="0012454C">
              <w:rPr>
                <w:rFonts w:ascii="TheSansOffice" w:hAnsi="TheSansOffice" w:cs="Arial"/>
              </w:rPr>
              <w:t>SIRT mit Holmium-166 bei Lebertumoren</w:t>
            </w:r>
          </w:p>
        </w:tc>
      </w:tr>
      <w:tr w:rsidR="00724255" w:rsidRPr="00484A24" w14:paraId="6DB26A28" w14:textId="77777777" w:rsidTr="00C8220C">
        <w:tc>
          <w:tcPr>
            <w:tcW w:w="9062" w:type="dxa"/>
            <w:gridSpan w:val="2"/>
            <w:shd w:val="clear" w:color="auto" w:fill="DAEEF3" w:themeFill="accent5" w:themeFillTint="33"/>
          </w:tcPr>
          <w:p w14:paraId="4B85F91B" w14:textId="77777777" w:rsidR="00724255" w:rsidRPr="00484A24" w:rsidRDefault="005D0274" w:rsidP="00724255">
            <w:pPr>
              <w:rPr>
                <w:rFonts w:ascii="TheSansOffice" w:hAnsi="TheSansOffice" w:cs="Arial"/>
                <w:b/>
                <w:bCs/>
              </w:rPr>
            </w:pPr>
            <w:r w:rsidRPr="00484A24">
              <w:rPr>
                <w:rFonts w:ascii="TheSansOffice" w:hAnsi="TheSansOffice" w:cs="Arial"/>
                <w:b/>
              </w:rPr>
              <w:t>A</w:t>
            </w:r>
            <w:r w:rsidR="00724255" w:rsidRPr="00484A24">
              <w:rPr>
                <w:rFonts w:ascii="TheSansOffice" w:hAnsi="TheSansOffice" w:cs="Arial"/>
                <w:b/>
              </w:rPr>
              <w:t>lternative Bezeichnung(en) der Methode</w:t>
            </w:r>
          </w:p>
        </w:tc>
      </w:tr>
      <w:tr w:rsidR="000A544B" w:rsidRPr="00484A24" w14:paraId="2E93E6A7" w14:textId="77777777" w:rsidTr="00C8220C">
        <w:tc>
          <w:tcPr>
            <w:tcW w:w="9062" w:type="dxa"/>
            <w:gridSpan w:val="2"/>
            <w:shd w:val="clear" w:color="auto" w:fill="auto"/>
          </w:tcPr>
          <w:p w14:paraId="709F6934" w14:textId="77777777" w:rsidR="000A544B" w:rsidRPr="00484A24" w:rsidRDefault="0012454C" w:rsidP="000A544B">
            <w:pPr>
              <w:rPr>
                <w:rFonts w:ascii="TheSansOffice" w:hAnsi="TheSansOffice" w:cs="Arial"/>
              </w:rPr>
            </w:pPr>
            <w:r w:rsidRPr="0012454C">
              <w:rPr>
                <w:rFonts w:ascii="TheSansOffice" w:hAnsi="TheSansOffice" w:cs="Arial"/>
              </w:rPr>
              <w:t xml:space="preserve">Selektive intravaskuläre Radionuklidtherapie (SIRT) mit Holmium-166 (166Ho)-markierten Mikrosphären zur </w:t>
            </w:r>
            <w:proofErr w:type="spellStart"/>
            <w:r w:rsidRPr="0012454C">
              <w:rPr>
                <w:rFonts w:ascii="TheSansOffice" w:hAnsi="TheSansOffice" w:cs="Arial"/>
              </w:rPr>
              <w:t>Radioembolisation</w:t>
            </w:r>
            <w:proofErr w:type="spellEnd"/>
          </w:p>
        </w:tc>
      </w:tr>
      <w:tr w:rsidR="000A544B" w:rsidRPr="00484A24" w14:paraId="7380895D" w14:textId="77777777" w:rsidTr="003C4BF0">
        <w:trPr>
          <w:trHeight w:val="234"/>
        </w:trPr>
        <w:tc>
          <w:tcPr>
            <w:tcW w:w="9062" w:type="dxa"/>
            <w:gridSpan w:val="2"/>
            <w:shd w:val="clear" w:color="auto" w:fill="DAEEF3" w:themeFill="accent5" w:themeFillTint="33"/>
          </w:tcPr>
          <w:p w14:paraId="7B046AC2" w14:textId="77777777" w:rsidR="000A544B" w:rsidRPr="00484A24" w:rsidRDefault="000A544B" w:rsidP="000A544B">
            <w:pPr>
              <w:rPr>
                <w:rFonts w:ascii="TheSansOffice" w:hAnsi="TheSansOffice" w:cs="Arial"/>
                <w:b/>
                <w:bCs/>
              </w:rPr>
            </w:pPr>
            <w:r w:rsidRPr="00BD344B">
              <w:rPr>
                <w:rFonts w:ascii="TheSansOffice" w:hAnsi="TheSansOffice" w:cs="Arial"/>
                <w:b/>
                <w:bCs/>
              </w:rPr>
              <w:t>Beruht die neue Untersuchungs- und Behandlungsmethode vollständig oder in Teilen auf den Einsatz eines Medizinproduktes?</w:t>
            </w:r>
            <w:r>
              <w:rPr>
                <w:rFonts w:ascii="TheSansOffice" w:hAnsi="TheSansOffice" w:cs="Arial"/>
                <w:b/>
                <w:bCs/>
              </w:rPr>
              <w:t xml:space="preserve"> *</w:t>
            </w:r>
          </w:p>
        </w:tc>
      </w:tr>
      <w:tr w:rsidR="000A544B" w:rsidRPr="00484A24" w14:paraId="4D41A440" w14:textId="77777777" w:rsidTr="003C4BF0">
        <w:trPr>
          <w:trHeight w:val="234"/>
        </w:trPr>
        <w:tc>
          <w:tcPr>
            <w:tcW w:w="4531" w:type="dxa"/>
            <w:shd w:val="clear" w:color="auto" w:fill="auto"/>
          </w:tcPr>
          <w:p w14:paraId="25229C6A" w14:textId="77777777" w:rsidR="000A544B" w:rsidRPr="00484A24" w:rsidRDefault="00A32C0E" w:rsidP="000A544B">
            <w:pPr>
              <w:rPr>
                <w:rFonts w:ascii="TheSansOffice" w:hAnsi="TheSansOffice" w:cs="Arial"/>
                <w:b/>
                <w:bCs/>
              </w:rPr>
            </w:pPr>
            <w:sdt>
              <w:sdtPr>
                <w:rPr>
                  <w:rFonts w:ascii="TheSansOffice" w:hAnsi="TheSansOffice" w:cs="Arial"/>
                  <w:b/>
                  <w:bCs/>
                </w:rPr>
                <w:id w:val="-1827580339"/>
                <w14:checkbox>
                  <w14:checked w14:val="1"/>
                  <w14:checkedState w14:val="2612" w14:font="MS Gothic"/>
                  <w14:uncheckedState w14:val="2610" w14:font="MS Gothic"/>
                </w14:checkbox>
              </w:sdtPr>
              <w:sdtEndPr/>
              <w:sdtContent>
                <w:r w:rsidR="0012454C">
                  <w:rPr>
                    <w:rFonts w:ascii="MS Gothic" w:eastAsia="MS Gothic" w:hAnsi="MS Gothic" w:cs="Arial" w:hint="eastAsia"/>
                    <w:b/>
                    <w:bCs/>
                  </w:rPr>
                  <w:t>☒</w:t>
                </w:r>
              </w:sdtContent>
            </w:sdt>
            <w:r w:rsidR="000A544B">
              <w:rPr>
                <w:rFonts w:ascii="TheSansOffice" w:hAnsi="TheSansOffice" w:cs="Arial"/>
                <w:b/>
                <w:bCs/>
              </w:rPr>
              <w:t xml:space="preserve"> Ja</w:t>
            </w:r>
          </w:p>
        </w:tc>
        <w:tc>
          <w:tcPr>
            <w:tcW w:w="4531" w:type="dxa"/>
            <w:shd w:val="clear" w:color="auto" w:fill="auto"/>
          </w:tcPr>
          <w:p w14:paraId="3BD74A14" w14:textId="77777777" w:rsidR="000A544B" w:rsidRPr="00484A24" w:rsidRDefault="00A32C0E" w:rsidP="000A544B">
            <w:pPr>
              <w:rPr>
                <w:rFonts w:ascii="TheSansOffice" w:hAnsi="TheSansOffice" w:cs="Arial"/>
                <w:b/>
                <w:bCs/>
              </w:rPr>
            </w:pPr>
            <w:sdt>
              <w:sdtPr>
                <w:rPr>
                  <w:rFonts w:ascii="TheSansOffice" w:hAnsi="TheSansOffice" w:cs="Arial"/>
                  <w:b/>
                  <w:bCs/>
                </w:rPr>
                <w:id w:val="2123186003"/>
                <w14:checkbox>
                  <w14:checked w14:val="0"/>
                  <w14:checkedState w14:val="2612" w14:font="MS Gothic"/>
                  <w14:uncheckedState w14:val="2610" w14:font="MS Gothic"/>
                </w14:checkbox>
              </w:sdtPr>
              <w:sdtEndPr/>
              <w:sdtContent>
                <w:r w:rsidR="000A544B">
                  <w:rPr>
                    <w:rFonts w:ascii="MS Gothic" w:eastAsia="MS Gothic" w:hAnsi="MS Gothic" w:cs="Arial" w:hint="eastAsia"/>
                    <w:b/>
                    <w:bCs/>
                  </w:rPr>
                  <w:t>☐</w:t>
                </w:r>
              </w:sdtContent>
            </w:sdt>
            <w:r w:rsidR="000A544B">
              <w:rPr>
                <w:rFonts w:ascii="TheSansOffice" w:hAnsi="TheSansOffice" w:cs="Arial"/>
                <w:b/>
                <w:bCs/>
              </w:rPr>
              <w:t xml:space="preserve"> Nein</w:t>
            </w:r>
          </w:p>
        </w:tc>
      </w:tr>
      <w:tr w:rsidR="000A544B" w:rsidRPr="00484A24" w14:paraId="43D43B6C" w14:textId="77777777" w:rsidTr="003C4BF0">
        <w:trPr>
          <w:trHeight w:val="234"/>
        </w:trPr>
        <w:tc>
          <w:tcPr>
            <w:tcW w:w="9062" w:type="dxa"/>
            <w:gridSpan w:val="2"/>
            <w:shd w:val="clear" w:color="auto" w:fill="DAEEF3" w:themeFill="accent5" w:themeFillTint="33"/>
          </w:tcPr>
          <w:p w14:paraId="6A4713EC" w14:textId="77777777" w:rsidR="000A544B" w:rsidRPr="00484A24" w:rsidRDefault="000A544B" w:rsidP="000A544B">
            <w:pPr>
              <w:rPr>
                <w:rFonts w:ascii="TheSansOffice" w:hAnsi="TheSansOffice" w:cs="Arial"/>
                <w:b/>
                <w:bCs/>
              </w:rPr>
            </w:pPr>
            <w:r w:rsidRPr="00BD344B">
              <w:rPr>
                <w:rFonts w:ascii="TheSansOffice" w:hAnsi="TheSansOffice" w:cs="Arial"/>
                <w:b/>
                <w:bCs/>
              </w:rPr>
              <w:t>Wenn ja, handelt es sich um ein Medizinprodukt hoher Risikoklasse gemäß §137h SGB V?</w:t>
            </w:r>
            <w:r>
              <w:rPr>
                <w:rFonts w:ascii="TheSansOffice" w:hAnsi="TheSansOffice" w:cs="Arial"/>
                <w:b/>
                <w:bCs/>
              </w:rPr>
              <w:t xml:space="preserve"> *</w:t>
            </w:r>
          </w:p>
        </w:tc>
      </w:tr>
      <w:tr w:rsidR="000A544B" w:rsidRPr="00484A24" w14:paraId="6E224A89" w14:textId="77777777" w:rsidTr="003C4BF0">
        <w:trPr>
          <w:trHeight w:val="234"/>
        </w:trPr>
        <w:tc>
          <w:tcPr>
            <w:tcW w:w="4531" w:type="dxa"/>
            <w:shd w:val="clear" w:color="auto" w:fill="auto"/>
          </w:tcPr>
          <w:p w14:paraId="3FF86D49" w14:textId="77777777" w:rsidR="000A544B" w:rsidRPr="00484A24" w:rsidRDefault="00A32C0E" w:rsidP="000A544B">
            <w:pPr>
              <w:rPr>
                <w:rFonts w:ascii="TheSansOffice" w:hAnsi="TheSansOffice" w:cs="Arial"/>
                <w:b/>
                <w:bCs/>
              </w:rPr>
            </w:pPr>
            <w:sdt>
              <w:sdtPr>
                <w:rPr>
                  <w:rFonts w:ascii="TheSansOffice" w:hAnsi="TheSansOffice" w:cs="Arial"/>
                  <w:b/>
                  <w:bCs/>
                </w:rPr>
                <w:id w:val="981812386"/>
                <w14:checkbox>
                  <w14:checked w14:val="0"/>
                  <w14:checkedState w14:val="2612" w14:font="MS Gothic"/>
                  <w14:uncheckedState w14:val="2610" w14:font="MS Gothic"/>
                </w14:checkbox>
              </w:sdtPr>
              <w:sdtEndPr/>
              <w:sdtContent>
                <w:r w:rsidR="000A544B">
                  <w:rPr>
                    <w:rFonts w:ascii="MS Gothic" w:eastAsia="MS Gothic" w:hAnsi="MS Gothic" w:cs="Arial" w:hint="eastAsia"/>
                    <w:b/>
                    <w:bCs/>
                  </w:rPr>
                  <w:t>☐</w:t>
                </w:r>
              </w:sdtContent>
            </w:sdt>
            <w:r w:rsidR="000A544B">
              <w:rPr>
                <w:rFonts w:ascii="TheSansOffice" w:hAnsi="TheSansOffice" w:cs="Arial"/>
                <w:b/>
                <w:bCs/>
              </w:rPr>
              <w:t xml:space="preserve"> Ja</w:t>
            </w:r>
          </w:p>
        </w:tc>
        <w:tc>
          <w:tcPr>
            <w:tcW w:w="4531" w:type="dxa"/>
            <w:shd w:val="clear" w:color="auto" w:fill="auto"/>
          </w:tcPr>
          <w:p w14:paraId="38855533" w14:textId="77777777" w:rsidR="000A544B" w:rsidRPr="00484A24" w:rsidRDefault="00A32C0E" w:rsidP="000A544B">
            <w:pPr>
              <w:rPr>
                <w:rFonts w:ascii="TheSansOffice" w:hAnsi="TheSansOffice" w:cs="Arial"/>
                <w:b/>
                <w:bCs/>
              </w:rPr>
            </w:pPr>
            <w:sdt>
              <w:sdtPr>
                <w:rPr>
                  <w:rFonts w:ascii="TheSansOffice" w:hAnsi="TheSansOffice" w:cs="Arial"/>
                  <w:b/>
                  <w:bCs/>
                </w:rPr>
                <w:id w:val="-165876256"/>
                <w14:checkbox>
                  <w14:checked w14:val="0"/>
                  <w14:checkedState w14:val="2612" w14:font="MS Gothic"/>
                  <w14:uncheckedState w14:val="2610" w14:font="MS Gothic"/>
                </w14:checkbox>
              </w:sdtPr>
              <w:sdtEndPr/>
              <w:sdtContent>
                <w:r w:rsidR="000A544B">
                  <w:rPr>
                    <w:rFonts w:ascii="MS Gothic" w:eastAsia="MS Gothic" w:hAnsi="MS Gothic" w:cs="Arial" w:hint="eastAsia"/>
                    <w:b/>
                    <w:bCs/>
                  </w:rPr>
                  <w:t>☐</w:t>
                </w:r>
              </w:sdtContent>
            </w:sdt>
            <w:r w:rsidR="000A544B">
              <w:rPr>
                <w:rFonts w:ascii="TheSansOffice" w:hAnsi="TheSansOffice" w:cs="Arial"/>
                <w:b/>
                <w:bCs/>
              </w:rPr>
              <w:t xml:space="preserve"> Nein</w:t>
            </w:r>
          </w:p>
        </w:tc>
      </w:tr>
      <w:tr w:rsidR="000A544B" w:rsidRPr="00484A24" w14:paraId="16D91C03" w14:textId="77777777" w:rsidTr="003C4BF0">
        <w:trPr>
          <w:trHeight w:val="234"/>
        </w:trPr>
        <w:tc>
          <w:tcPr>
            <w:tcW w:w="9062" w:type="dxa"/>
            <w:gridSpan w:val="2"/>
            <w:shd w:val="clear" w:color="auto" w:fill="auto"/>
          </w:tcPr>
          <w:p w14:paraId="34924EC6" w14:textId="2A1DC571" w:rsidR="000A544B" w:rsidRDefault="00A32C0E" w:rsidP="000A544B">
            <w:pPr>
              <w:rPr>
                <w:rFonts w:ascii="TheSansOffice" w:hAnsi="TheSansOffice" w:cs="Arial"/>
                <w:color w:val="C0504D" w:themeColor="accent2"/>
              </w:rPr>
            </w:pPr>
            <w:sdt>
              <w:sdtPr>
                <w:rPr>
                  <w:rFonts w:ascii="TheSansOffice" w:hAnsi="TheSansOffice" w:cs="Arial"/>
                  <w:b/>
                  <w:bCs/>
                </w:rPr>
                <w:id w:val="-850486996"/>
                <w14:checkbox>
                  <w14:checked w14:val="1"/>
                  <w14:checkedState w14:val="2612" w14:font="MS Gothic"/>
                  <w14:uncheckedState w14:val="2610" w14:font="MS Gothic"/>
                </w14:checkbox>
              </w:sdtPr>
              <w:sdtEndPr/>
              <w:sdtContent>
                <w:r w:rsidR="0012454C">
                  <w:rPr>
                    <w:rFonts w:ascii="MS Gothic" w:eastAsia="MS Gothic" w:hAnsi="MS Gothic" w:cs="Arial" w:hint="eastAsia"/>
                    <w:b/>
                    <w:bCs/>
                  </w:rPr>
                  <w:t>☒</w:t>
                </w:r>
              </w:sdtContent>
            </w:sdt>
            <w:r w:rsidR="000A544B">
              <w:rPr>
                <w:rFonts w:ascii="TheSansOffice" w:hAnsi="TheSansOffice" w:cs="Arial"/>
                <w:b/>
                <w:bCs/>
              </w:rPr>
              <w:t xml:space="preserve"> Sonstiges: </w:t>
            </w:r>
          </w:p>
          <w:p w14:paraId="44F57011" w14:textId="77777777" w:rsidR="005468B3" w:rsidRPr="00484A24" w:rsidRDefault="0012454C" w:rsidP="000A544B">
            <w:pPr>
              <w:rPr>
                <w:rFonts w:ascii="TheSansOffice" w:hAnsi="TheSansOffice" w:cs="Arial"/>
                <w:b/>
                <w:bCs/>
              </w:rPr>
            </w:pPr>
            <w:r>
              <w:rPr>
                <w:rFonts w:ascii="TheSansOffice" w:hAnsi="TheSansOffice" w:cs="Arial"/>
                <w:bCs/>
              </w:rPr>
              <w:t>Es wurde bisher keine Anfrage beim G-BA zur Klärung gestellt; Die Mikrosphären sind gemäß dem MPG der Klasse III zuzuordnen.</w:t>
            </w:r>
          </w:p>
        </w:tc>
      </w:tr>
      <w:tr w:rsidR="000A544B" w:rsidRPr="00484A24" w14:paraId="0284E146" w14:textId="77777777" w:rsidTr="003C4BF0">
        <w:trPr>
          <w:trHeight w:val="234"/>
        </w:trPr>
        <w:tc>
          <w:tcPr>
            <w:tcW w:w="9062" w:type="dxa"/>
            <w:gridSpan w:val="2"/>
            <w:shd w:val="clear" w:color="auto" w:fill="DAEEF3" w:themeFill="accent5" w:themeFillTint="33"/>
          </w:tcPr>
          <w:p w14:paraId="22145EC8" w14:textId="77777777" w:rsidR="000A544B" w:rsidRPr="00484A24" w:rsidRDefault="000A544B" w:rsidP="000A544B">
            <w:pPr>
              <w:rPr>
                <w:rFonts w:ascii="TheSansOffice" w:hAnsi="TheSansOffice" w:cs="Arial"/>
                <w:b/>
                <w:bCs/>
              </w:rPr>
            </w:pPr>
            <w:r w:rsidRPr="00BD344B">
              <w:rPr>
                <w:rFonts w:ascii="TheSansOffice" w:hAnsi="TheSansOffice" w:cs="Arial"/>
                <w:b/>
                <w:bCs/>
              </w:rPr>
              <w:t>Handelsname des/der verwendeten Medizinprodukte(s)</w:t>
            </w:r>
            <w:r>
              <w:rPr>
                <w:rFonts w:ascii="TheSansOffice" w:hAnsi="TheSansOffice" w:cs="Arial"/>
                <w:b/>
                <w:bCs/>
              </w:rPr>
              <w:t xml:space="preserve"> *</w:t>
            </w:r>
          </w:p>
        </w:tc>
      </w:tr>
      <w:tr w:rsidR="000A544B" w:rsidRPr="00484A24" w14:paraId="542E317C" w14:textId="77777777" w:rsidTr="003C4BF0">
        <w:trPr>
          <w:trHeight w:val="234"/>
        </w:trPr>
        <w:tc>
          <w:tcPr>
            <w:tcW w:w="9062" w:type="dxa"/>
            <w:gridSpan w:val="2"/>
            <w:shd w:val="clear" w:color="auto" w:fill="auto"/>
          </w:tcPr>
          <w:p w14:paraId="3EC2D9E6" w14:textId="623E8580" w:rsidR="000A544B" w:rsidRPr="009C31D2" w:rsidRDefault="0012454C" w:rsidP="00967BCA">
            <w:pPr>
              <w:rPr>
                <w:rFonts w:ascii="TheSansOffice" w:hAnsi="TheSansOffice" w:cs="Arial"/>
                <w:bCs/>
              </w:rPr>
            </w:pPr>
            <w:proofErr w:type="spellStart"/>
            <w:r w:rsidRPr="009541C5">
              <w:rPr>
                <w:rFonts w:ascii="TheSansOffice" w:hAnsi="TheSansOffice"/>
              </w:rPr>
              <w:t>QuiremSpheres</w:t>
            </w:r>
            <w:proofErr w:type="spellEnd"/>
          </w:p>
        </w:tc>
      </w:tr>
      <w:tr w:rsidR="000A544B" w:rsidRPr="00484A24" w14:paraId="62EBF34A" w14:textId="77777777" w:rsidTr="003C4BF0">
        <w:trPr>
          <w:trHeight w:val="234"/>
        </w:trPr>
        <w:tc>
          <w:tcPr>
            <w:tcW w:w="9062" w:type="dxa"/>
            <w:gridSpan w:val="2"/>
            <w:shd w:val="clear" w:color="auto" w:fill="DAEEF3" w:themeFill="accent5" w:themeFillTint="33"/>
          </w:tcPr>
          <w:p w14:paraId="0B2D463B" w14:textId="77777777" w:rsidR="000A544B" w:rsidRPr="00484A24" w:rsidRDefault="000A544B" w:rsidP="000A544B">
            <w:pPr>
              <w:rPr>
                <w:rFonts w:ascii="TheSansOffice" w:hAnsi="TheSansOffice" w:cs="Arial"/>
                <w:b/>
                <w:bCs/>
              </w:rPr>
            </w:pPr>
            <w:r w:rsidRPr="00BD344B">
              <w:rPr>
                <w:rFonts w:ascii="TheSansOffice" w:hAnsi="TheSansOffice" w:cs="Arial"/>
                <w:b/>
                <w:bCs/>
              </w:rPr>
              <w:t>Informationen zur CE-Kennzeichnung bzw. Angabe CE-Kennzeichen</w:t>
            </w:r>
            <w:r>
              <w:rPr>
                <w:rFonts w:ascii="TheSansOffice" w:hAnsi="TheSansOffice" w:cs="Arial"/>
                <w:b/>
                <w:bCs/>
              </w:rPr>
              <w:t xml:space="preserve"> *</w:t>
            </w:r>
          </w:p>
        </w:tc>
      </w:tr>
      <w:tr w:rsidR="000A544B" w:rsidRPr="00484A24" w14:paraId="1103D64A" w14:textId="77777777" w:rsidTr="003C4BF0">
        <w:trPr>
          <w:trHeight w:val="234"/>
        </w:trPr>
        <w:tc>
          <w:tcPr>
            <w:tcW w:w="9062" w:type="dxa"/>
            <w:gridSpan w:val="2"/>
            <w:shd w:val="clear" w:color="auto" w:fill="auto"/>
          </w:tcPr>
          <w:p w14:paraId="5E04E6BA" w14:textId="77777777" w:rsidR="0012454C" w:rsidRPr="0012454C" w:rsidRDefault="0012454C" w:rsidP="0012454C">
            <w:pPr>
              <w:tabs>
                <w:tab w:val="left" w:pos="2655"/>
              </w:tabs>
              <w:rPr>
                <w:rFonts w:ascii="TheSansOffice" w:hAnsi="TheSansOffice" w:cs="Arial"/>
                <w:bCs/>
              </w:rPr>
            </w:pPr>
            <w:proofErr w:type="spellStart"/>
            <w:r w:rsidRPr="0012454C">
              <w:rPr>
                <w:rFonts w:ascii="TheSansOffice" w:hAnsi="TheSansOffice" w:cs="Arial"/>
                <w:bCs/>
              </w:rPr>
              <w:t>Notified</w:t>
            </w:r>
            <w:proofErr w:type="spellEnd"/>
            <w:r w:rsidRPr="0012454C">
              <w:rPr>
                <w:rFonts w:ascii="TheSansOffice" w:hAnsi="TheSansOffice" w:cs="Arial"/>
                <w:bCs/>
              </w:rPr>
              <w:t xml:space="preserve"> Body DEKRA Nr. 0344 </w:t>
            </w:r>
          </w:p>
          <w:p w14:paraId="7D145B69" w14:textId="77777777" w:rsidR="00386F52" w:rsidRPr="00386F52" w:rsidRDefault="0012454C" w:rsidP="0012454C">
            <w:pPr>
              <w:rPr>
                <w:rFonts w:ascii="TheSansOffice" w:hAnsi="TheSansOffice" w:cs="Arial"/>
                <w:bCs/>
              </w:rPr>
            </w:pPr>
            <w:r w:rsidRPr="0012454C">
              <w:rPr>
                <w:rFonts w:ascii="TheSansOffice" w:hAnsi="TheSansOffice" w:cs="Arial"/>
                <w:bCs/>
              </w:rPr>
              <w:t>Zertifikat vom 1.4.2015 2172702CB</w:t>
            </w:r>
            <w:r w:rsidRPr="0012454C">
              <w:rPr>
                <w:rFonts w:ascii="TheSansOffice" w:hAnsi="TheSansOffice" w:cs="Arial"/>
                <w:color w:val="C0504D" w:themeColor="accent2"/>
                <w:lang w:val="en-US"/>
              </w:rPr>
              <w:t xml:space="preserve"> </w:t>
            </w:r>
          </w:p>
        </w:tc>
      </w:tr>
      <w:tr w:rsidR="000A544B" w:rsidRPr="00484A24" w14:paraId="57822EA9" w14:textId="77777777" w:rsidTr="003C4BF0">
        <w:tc>
          <w:tcPr>
            <w:tcW w:w="9062" w:type="dxa"/>
            <w:gridSpan w:val="2"/>
            <w:shd w:val="clear" w:color="auto" w:fill="DAEEF3" w:themeFill="accent5" w:themeFillTint="33"/>
          </w:tcPr>
          <w:p w14:paraId="5B409432" w14:textId="21B285BF" w:rsidR="000A544B" w:rsidRPr="00484A24" w:rsidRDefault="000A544B" w:rsidP="007E6736">
            <w:pPr>
              <w:rPr>
                <w:rFonts w:ascii="TheSansOffice" w:hAnsi="TheSansOffice" w:cs="Arial"/>
                <w:b/>
                <w:bCs/>
              </w:rPr>
            </w:pPr>
            <w:r w:rsidRPr="00BD344B">
              <w:rPr>
                <w:rFonts w:ascii="TheSansOffice" w:hAnsi="TheSansOffice" w:cs="Arial"/>
                <w:b/>
                <w:bCs/>
              </w:rPr>
              <w:t>Wurde für diese angefragte Untersuchungs- und Behandlungsmethode von Ihrem Kranke</w:t>
            </w:r>
            <w:r w:rsidR="00F8132B">
              <w:rPr>
                <w:rFonts w:ascii="TheSansOffice" w:hAnsi="TheSansOffice" w:cs="Arial"/>
                <w:b/>
                <w:bCs/>
              </w:rPr>
              <w:t>nhaus bereits vor dem 01.01.201</w:t>
            </w:r>
            <w:r w:rsidR="007E6736">
              <w:rPr>
                <w:rFonts w:ascii="TheSansOffice" w:hAnsi="TheSansOffice" w:cs="Arial"/>
                <w:b/>
                <w:bCs/>
              </w:rPr>
              <w:t>8</w:t>
            </w:r>
            <w:r w:rsidRPr="00BD344B">
              <w:rPr>
                <w:rFonts w:ascii="TheSansOffice" w:hAnsi="TheSansOffice" w:cs="Arial"/>
                <w:b/>
                <w:bCs/>
              </w:rPr>
              <w:t xml:space="preserve"> eine Anfrage gemäß §6 Abs. 2 KHEnt</w:t>
            </w:r>
            <w:r w:rsidR="00F8132B">
              <w:rPr>
                <w:rFonts w:ascii="TheSansOffice" w:hAnsi="TheSansOffice" w:cs="Arial"/>
                <w:b/>
                <w:bCs/>
              </w:rPr>
              <w:t>g</w:t>
            </w:r>
            <w:r w:rsidRPr="00BD344B">
              <w:rPr>
                <w:rFonts w:ascii="TheSansOffice" w:hAnsi="TheSansOffice" w:cs="Arial"/>
                <w:b/>
                <w:bCs/>
              </w:rPr>
              <w:t>G an das InEK übermittelt?</w:t>
            </w:r>
            <w:r>
              <w:rPr>
                <w:rFonts w:ascii="TheSansOffice" w:hAnsi="TheSansOffice" w:cs="Arial"/>
                <w:b/>
                <w:bCs/>
              </w:rPr>
              <w:t>*</w:t>
            </w:r>
          </w:p>
        </w:tc>
      </w:tr>
      <w:tr w:rsidR="000A544B" w:rsidRPr="00484A24" w14:paraId="07A5921D" w14:textId="77777777" w:rsidTr="003C4BF0">
        <w:tc>
          <w:tcPr>
            <w:tcW w:w="4531" w:type="dxa"/>
            <w:shd w:val="clear" w:color="auto" w:fill="auto"/>
          </w:tcPr>
          <w:p w14:paraId="3844E3D5" w14:textId="77777777" w:rsidR="000A544B" w:rsidRPr="00484A24" w:rsidRDefault="00A32C0E" w:rsidP="000A544B">
            <w:pPr>
              <w:rPr>
                <w:rFonts w:ascii="TheSansOffice" w:hAnsi="TheSansOffice" w:cs="Arial"/>
              </w:rPr>
            </w:pPr>
            <w:sdt>
              <w:sdtPr>
                <w:rPr>
                  <w:rFonts w:ascii="TheSansOffice" w:hAnsi="TheSansOffice" w:cs="Arial"/>
                </w:rPr>
                <w:id w:val="-1064795544"/>
                <w14:checkbox>
                  <w14:checked w14:val="1"/>
                  <w14:checkedState w14:val="2612" w14:font="MS Gothic"/>
                  <w14:uncheckedState w14:val="2610" w14:font="MS Gothic"/>
                </w14:checkbox>
              </w:sdtPr>
              <w:sdtEndPr/>
              <w:sdtContent>
                <w:r w:rsidR="006C54D8">
                  <w:rPr>
                    <w:rFonts w:ascii="MS Gothic" w:eastAsia="MS Gothic" w:hAnsi="MS Gothic" w:cs="Arial" w:hint="eastAsia"/>
                  </w:rPr>
                  <w:t>☒</w:t>
                </w:r>
              </w:sdtContent>
            </w:sdt>
            <w:r w:rsidR="000A544B">
              <w:rPr>
                <w:rFonts w:ascii="TheSansOffice" w:hAnsi="TheSansOffice" w:cs="Arial"/>
              </w:rPr>
              <w:t xml:space="preserve"> Ja</w:t>
            </w:r>
          </w:p>
        </w:tc>
        <w:tc>
          <w:tcPr>
            <w:tcW w:w="4531" w:type="dxa"/>
            <w:shd w:val="clear" w:color="auto" w:fill="auto"/>
          </w:tcPr>
          <w:p w14:paraId="45E5456F" w14:textId="77777777" w:rsidR="000A544B" w:rsidRPr="00484A24" w:rsidRDefault="00A32C0E" w:rsidP="000A544B">
            <w:pPr>
              <w:rPr>
                <w:rFonts w:ascii="TheSansOffice" w:hAnsi="TheSansOffice" w:cs="Arial"/>
              </w:rPr>
            </w:pPr>
            <w:sdt>
              <w:sdtPr>
                <w:rPr>
                  <w:rFonts w:ascii="TheSansOffice" w:hAnsi="TheSansOffice" w:cs="Arial"/>
                </w:rPr>
                <w:id w:val="383298490"/>
                <w14:checkbox>
                  <w14:checked w14:val="0"/>
                  <w14:checkedState w14:val="2612" w14:font="MS Gothic"/>
                  <w14:uncheckedState w14:val="2610" w14:font="MS Gothic"/>
                </w14:checkbox>
              </w:sdtPr>
              <w:sdtEndPr/>
              <w:sdtContent>
                <w:r w:rsidR="000A544B">
                  <w:rPr>
                    <w:rFonts w:ascii="MS Gothic" w:eastAsia="MS Gothic" w:hAnsi="MS Gothic" w:cs="Arial" w:hint="eastAsia"/>
                  </w:rPr>
                  <w:t>☐</w:t>
                </w:r>
              </w:sdtContent>
            </w:sdt>
            <w:r w:rsidR="000A544B">
              <w:rPr>
                <w:rFonts w:ascii="TheSansOffice" w:hAnsi="TheSansOffice" w:cs="Arial"/>
              </w:rPr>
              <w:t xml:space="preserve"> Nein</w:t>
            </w:r>
          </w:p>
        </w:tc>
      </w:tr>
      <w:tr w:rsidR="000A544B" w:rsidRPr="00484A24" w14:paraId="3A7A26C1" w14:textId="77777777" w:rsidTr="003C4BF0">
        <w:tc>
          <w:tcPr>
            <w:tcW w:w="9062" w:type="dxa"/>
            <w:gridSpan w:val="2"/>
            <w:shd w:val="clear" w:color="auto" w:fill="auto"/>
          </w:tcPr>
          <w:p w14:paraId="75E30D64" w14:textId="77777777" w:rsidR="001D2E3D" w:rsidRDefault="000A544B" w:rsidP="000A544B">
            <w:pPr>
              <w:rPr>
                <w:rFonts w:ascii="TheSansOffice" w:hAnsi="TheSansOffice" w:cs="Arial"/>
              </w:rPr>
            </w:pPr>
            <w:r>
              <w:rPr>
                <w:rFonts w:ascii="TheSansOffice" w:hAnsi="TheSansOffice" w:cs="Arial"/>
              </w:rPr>
              <w:t>Frühere Verfahrensnummer:</w:t>
            </w:r>
          </w:p>
          <w:p w14:paraId="2285B1A3" w14:textId="77777777" w:rsidR="001D2E3D" w:rsidRDefault="001D2E3D" w:rsidP="001D2E3D">
            <w:pPr>
              <w:rPr>
                <w:rFonts w:ascii="TheSansOffice" w:hAnsi="TheSansOffice" w:cs="Arial"/>
                <w:color w:val="C0504D" w:themeColor="accent2"/>
              </w:rPr>
            </w:pPr>
            <w:r w:rsidRPr="009C7BCE">
              <w:rPr>
                <w:rFonts w:ascii="TheSansOffice" w:hAnsi="TheSansOffice" w:cs="Arial"/>
                <w:color w:val="C0504D" w:themeColor="accent2"/>
              </w:rPr>
              <w:t>(Anm. inspiring-health:</w:t>
            </w:r>
            <w:r>
              <w:rPr>
                <w:rFonts w:ascii="TheSansOffice" w:hAnsi="TheSansOffice" w:cs="Arial"/>
                <w:color w:val="C0504D" w:themeColor="accent2"/>
              </w:rPr>
              <w:t xml:space="preserve"> </w:t>
            </w:r>
          </w:p>
          <w:p w14:paraId="7DFC7AE0" w14:textId="6DE3A61A" w:rsidR="000A544B" w:rsidRDefault="000A544B" w:rsidP="000A544B">
            <w:pPr>
              <w:rPr>
                <w:rFonts w:ascii="TheSansOffice" w:hAnsi="TheSansOffice" w:cs="Arial"/>
                <w:color w:val="C0504D" w:themeColor="accent2"/>
              </w:rPr>
            </w:pPr>
            <w:r w:rsidRPr="001D2E3D">
              <w:rPr>
                <w:rFonts w:ascii="TheSansOffice" w:hAnsi="TheSansOffice" w:cs="Arial"/>
                <w:color w:val="C0504D" w:themeColor="accent2"/>
              </w:rPr>
              <w:t xml:space="preserve"> Bitte – falls zutreff</w:t>
            </w:r>
            <w:r w:rsidR="00101FC9">
              <w:rPr>
                <w:rFonts w:ascii="TheSansOffice" w:hAnsi="TheSansOffice" w:cs="Arial"/>
                <w:color w:val="C0504D" w:themeColor="accent2"/>
              </w:rPr>
              <w:t>end – Ihre Verfahrensnummer 201</w:t>
            </w:r>
            <w:r w:rsidR="007E6736">
              <w:rPr>
                <w:rFonts w:ascii="TheSansOffice" w:hAnsi="TheSansOffice" w:cs="Arial"/>
                <w:color w:val="C0504D" w:themeColor="accent2"/>
              </w:rPr>
              <w:t>7</w:t>
            </w:r>
            <w:r w:rsidR="00101FC9">
              <w:rPr>
                <w:rFonts w:ascii="TheSansOffice" w:hAnsi="TheSansOffice" w:cs="Arial"/>
                <w:color w:val="C0504D" w:themeColor="accent2"/>
              </w:rPr>
              <w:t>/</w:t>
            </w:r>
            <w:r w:rsidRPr="001D2E3D">
              <w:rPr>
                <w:rFonts w:ascii="TheSansOffice" w:hAnsi="TheSansOffice" w:cs="Arial"/>
                <w:color w:val="C0504D" w:themeColor="accent2"/>
              </w:rPr>
              <w:t>1</w:t>
            </w:r>
            <w:r w:rsidR="007E6736">
              <w:rPr>
                <w:rFonts w:ascii="TheSansOffice" w:hAnsi="TheSansOffice" w:cs="Arial"/>
                <w:color w:val="C0504D" w:themeColor="accent2"/>
              </w:rPr>
              <w:t>8</w:t>
            </w:r>
            <w:r w:rsidRPr="001D2E3D">
              <w:rPr>
                <w:rFonts w:ascii="TheSansOffice" w:hAnsi="TheSansOffice" w:cs="Arial"/>
                <w:color w:val="C0504D" w:themeColor="accent2"/>
              </w:rPr>
              <w:t xml:space="preserve"> eintragen, sonst oben „Nein“ ankreuzen</w:t>
            </w:r>
            <w:r w:rsidR="001D2E3D">
              <w:rPr>
                <w:rFonts w:ascii="TheSansOffice" w:hAnsi="TheSansOffice" w:cs="Arial"/>
                <w:color w:val="C0504D" w:themeColor="accent2"/>
              </w:rPr>
              <w:t>)</w:t>
            </w:r>
          </w:p>
          <w:p w14:paraId="5A02DA36" w14:textId="77777777" w:rsidR="001D2E3D" w:rsidRPr="001D2E3D" w:rsidRDefault="006C54D8" w:rsidP="000A544B">
            <w:pPr>
              <w:rPr>
                <w:rFonts w:ascii="TheSansOffice" w:hAnsi="TheSansOffice" w:cs="Arial"/>
              </w:rPr>
            </w:pPr>
            <w:r w:rsidRPr="00484A24">
              <w:rPr>
                <w:rFonts w:ascii="TheSansOffice" w:hAnsi="TheSansOffice" w:cs="Arial"/>
                <w:color w:val="C00000"/>
                <w:sz w:val="28"/>
              </w:rPr>
              <w:t>Einzusetzen im Portal vom beantragenden Krankenhaus)</w:t>
            </w:r>
          </w:p>
        </w:tc>
      </w:tr>
      <w:tr w:rsidR="000A544B" w:rsidRPr="00484A24" w14:paraId="1D4CF7EE" w14:textId="77777777" w:rsidTr="00C8220C">
        <w:tc>
          <w:tcPr>
            <w:tcW w:w="9062" w:type="dxa"/>
            <w:gridSpan w:val="2"/>
            <w:shd w:val="clear" w:color="auto" w:fill="DAEEF3" w:themeFill="accent5" w:themeFillTint="33"/>
          </w:tcPr>
          <w:p w14:paraId="7B2D8B7B" w14:textId="77777777" w:rsidR="000A544B" w:rsidRPr="00484A24" w:rsidRDefault="000A544B" w:rsidP="000A544B">
            <w:pPr>
              <w:rPr>
                <w:rFonts w:ascii="TheSansOffice" w:hAnsi="TheSansOffice" w:cs="Arial"/>
                <w:b/>
                <w:bCs/>
              </w:rPr>
            </w:pPr>
            <w:r w:rsidRPr="00484A24">
              <w:rPr>
                <w:rFonts w:ascii="TheSansOffice" w:hAnsi="TheSansOffice" w:cs="Arial"/>
                <w:b/>
                <w:bCs/>
              </w:rPr>
              <w:t>Beschreibung der neuen Methode</w:t>
            </w:r>
            <w:r>
              <w:rPr>
                <w:rFonts w:ascii="TheSansOffice" w:hAnsi="TheSansOffice" w:cs="Arial"/>
                <w:b/>
                <w:bCs/>
              </w:rPr>
              <w:t xml:space="preserve"> </w:t>
            </w:r>
            <w:r w:rsidRPr="00484A24">
              <w:rPr>
                <w:rFonts w:ascii="TheSansOffice" w:hAnsi="TheSansOffice" w:cs="Arial"/>
                <w:b/>
                <w:bCs/>
              </w:rPr>
              <w:t>*</w:t>
            </w:r>
          </w:p>
        </w:tc>
      </w:tr>
      <w:tr w:rsidR="000A544B" w:rsidRPr="00A32C0E" w14:paraId="4EFE2B01" w14:textId="77777777" w:rsidTr="00C8220C">
        <w:tc>
          <w:tcPr>
            <w:tcW w:w="9062" w:type="dxa"/>
            <w:gridSpan w:val="2"/>
            <w:shd w:val="clear" w:color="auto" w:fill="auto"/>
          </w:tcPr>
          <w:p w14:paraId="3C708B55" w14:textId="2067129F" w:rsidR="00FA72A8" w:rsidRPr="00FA72A8" w:rsidRDefault="00FA72A8" w:rsidP="00FA72A8">
            <w:pPr>
              <w:rPr>
                <w:rFonts w:ascii="TheSansOffice" w:hAnsi="TheSansOffice" w:cs="Arial"/>
              </w:rPr>
            </w:pPr>
            <w:r w:rsidRPr="00FA72A8">
              <w:rPr>
                <w:rFonts w:ascii="TheSansOffice" w:hAnsi="TheSansOffice" w:cs="Arial"/>
              </w:rPr>
              <w:t>SIRT mit Holmium-166 ist für die Behandlung fortgeschritte</w:t>
            </w:r>
            <w:r>
              <w:rPr>
                <w:rFonts w:ascii="TheSansOffice" w:hAnsi="TheSansOffice" w:cs="Arial"/>
              </w:rPr>
              <w:t>ner inoperabler Lebertumoren be</w:t>
            </w:r>
            <w:r w:rsidRPr="00FA72A8">
              <w:rPr>
                <w:rFonts w:ascii="TheSansOffice" w:hAnsi="TheSansOffice" w:cs="Arial"/>
              </w:rPr>
              <w:t>stimmt.</w:t>
            </w:r>
          </w:p>
          <w:p w14:paraId="7F2A0BB8" w14:textId="49F20766" w:rsidR="00FA72A8" w:rsidRDefault="00FA72A8" w:rsidP="00FA72A8">
            <w:pPr>
              <w:rPr>
                <w:rFonts w:ascii="TheSansOffice" w:hAnsi="TheSansOffice" w:cs="Arial"/>
              </w:rPr>
            </w:pPr>
            <w:r w:rsidRPr="00FA72A8">
              <w:rPr>
                <w:rFonts w:ascii="TheSansOffice" w:hAnsi="TheSansOffice" w:cs="Arial"/>
              </w:rPr>
              <w:t>SIRT basiert auf</w:t>
            </w:r>
            <w:r w:rsidR="00C336AE">
              <w:rPr>
                <w:rFonts w:ascii="TheSansOffice" w:hAnsi="TheSansOffice" w:cs="Arial"/>
              </w:rPr>
              <w:t xml:space="preserve"> der Zerstörung von Lebertumoren durch energiereiche Strahlung.</w:t>
            </w:r>
            <w:r w:rsidRPr="00FA72A8">
              <w:rPr>
                <w:rFonts w:ascii="TheSansOffice" w:hAnsi="TheSansOffice" w:cs="Arial"/>
              </w:rPr>
              <w:t xml:space="preserve"> </w:t>
            </w:r>
            <w:r w:rsidR="00C336AE">
              <w:rPr>
                <w:rFonts w:ascii="TheSansOffice" w:hAnsi="TheSansOffice" w:cs="Arial"/>
              </w:rPr>
              <w:t xml:space="preserve">Die Mikrosphären folgen </w:t>
            </w:r>
            <w:r w:rsidRPr="00FA72A8">
              <w:rPr>
                <w:rFonts w:ascii="TheSansOffice" w:hAnsi="TheSansOffice" w:cs="Arial"/>
              </w:rPr>
              <w:t>dem physiologischen Blutfluss von der Leberarterie zum Tumor</w:t>
            </w:r>
            <w:r w:rsidR="00C336AE">
              <w:rPr>
                <w:rFonts w:ascii="TheSansOffice" w:hAnsi="TheSansOffice" w:cs="Arial"/>
              </w:rPr>
              <w:t xml:space="preserve"> und können sich dadurch</w:t>
            </w:r>
            <w:r w:rsidRPr="00FA72A8">
              <w:rPr>
                <w:rFonts w:ascii="TheSansOffice" w:hAnsi="TheSansOffice" w:cs="Arial"/>
              </w:rPr>
              <w:t xml:space="preserve"> im Tumor anreichern. Die Implantation in hepatische Tumore erfolgt intraarteriell mittels Katheter oder implantiertem Port durch die </w:t>
            </w:r>
            <w:proofErr w:type="spellStart"/>
            <w:r w:rsidRPr="00FA72A8">
              <w:rPr>
                <w:rFonts w:ascii="TheSansOffice" w:hAnsi="TheSansOffice" w:cs="Arial"/>
              </w:rPr>
              <w:t>Arteria</w:t>
            </w:r>
            <w:proofErr w:type="spellEnd"/>
            <w:r w:rsidRPr="00FA72A8">
              <w:rPr>
                <w:rFonts w:ascii="TheSansOffice" w:hAnsi="TheSansOffice" w:cs="Arial"/>
              </w:rPr>
              <w:t xml:space="preserve"> </w:t>
            </w:r>
            <w:proofErr w:type="spellStart"/>
            <w:r w:rsidRPr="00FA72A8">
              <w:rPr>
                <w:rFonts w:ascii="TheSansOffice" w:hAnsi="TheSansOffice" w:cs="Arial"/>
              </w:rPr>
              <w:t>hepatica</w:t>
            </w:r>
            <w:proofErr w:type="spellEnd"/>
            <w:r w:rsidRPr="00FA72A8">
              <w:rPr>
                <w:rFonts w:ascii="TheSansOffice" w:hAnsi="TheSansOffice" w:cs="Arial"/>
              </w:rPr>
              <w:t xml:space="preserve"> </w:t>
            </w:r>
            <w:proofErr w:type="spellStart"/>
            <w:r w:rsidRPr="00FA72A8">
              <w:rPr>
                <w:rFonts w:ascii="TheSansOffice" w:hAnsi="TheSansOffice" w:cs="Arial"/>
              </w:rPr>
              <w:t>communis</w:t>
            </w:r>
            <w:proofErr w:type="spellEnd"/>
            <w:r w:rsidRPr="00FA72A8">
              <w:rPr>
                <w:rFonts w:ascii="TheSansOffice" w:hAnsi="TheSansOffice" w:cs="Arial"/>
              </w:rPr>
              <w:t xml:space="preserve"> und in Abhängigkeit des zu behandelnden Tumors durch die </w:t>
            </w:r>
            <w:proofErr w:type="spellStart"/>
            <w:r w:rsidRPr="00FA72A8">
              <w:rPr>
                <w:rFonts w:ascii="TheSansOffice" w:hAnsi="TheSansOffice" w:cs="Arial"/>
              </w:rPr>
              <w:t>Arteria</w:t>
            </w:r>
            <w:proofErr w:type="spellEnd"/>
            <w:r w:rsidRPr="00FA72A8">
              <w:rPr>
                <w:rFonts w:ascii="TheSansOffice" w:hAnsi="TheSansOffice" w:cs="Arial"/>
              </w:rPr>
              <w:t xml:space="preserve"> </w:t>
            </w:r>
            <w:proofErr w:type="spellStart"/>
            <w:r w:rsidRPr="00FA72A8">
              <w:rPr>
                <w:rFonts w:ascii="TheSansOffice" w:hAnsi="TheSansOffice" w:cs="Arial"/>
              </w:rPr>
              <w:t>hepatica</w:t>
            </w:r>
            <w:proofErr w:type="spellEnd"/>
            <w:r w:rsidRPr="00FA72A8">
              <w:rPr>
                <w:rFonts w:ascii="TheSansOffice" w:hAnsi="TheSansOffice" w:cs="Arial"/>
              </w:rPr>
              <w:t xml:space="preserve"> sinister oder </w:t>
            </w:r>
            <w:proofErr w:type="spellStart"/>
            <w:r w:rsidRPr="00FA72A8">
              <w:rPr>
                <w:rFonts w:ascii="TheSansOffice" w:hAnsi="TheSansOffice" w:cs="Arial"/>
              </w:rPr>
              <w:t>Arteria</w:t>
            </w:r>
            <w:proofErr w:type="spellEnd"/>
            <w:r w:rsidRPr="00FA72A8">
              <w:rPr>
                <w:rFonts w:ascii="TheSansOffice" w:hAnsi="TheSansOffice" w:cs="Arial"/>
              </w:rPr>
              <w:t xml:space="preserve"> </w:t>
            </w:r>
            <w:proofErr w:type="spellStart"/>
            <w:r w:rsidRPr="00FA72A8">
              <w:rPr>
                <w:rFonts w:ascii="TheSansOffice" w:hAnsi="TheSansOffice" w:cs="Arial"/>
              </w:rPr>
              <w:t>hepatica</w:t>
            </w:r>
            <w:proofErr w:type="spellEnd"/>
            <w:r w:rsidRPr="00FA72A8">
              <w:rPr>
                <w:rFonts w:ascii="TheSansOffice" w:hAnsi="TheSansOffice" w:cs="Arial"/>
              </w:rPr>
              <w:t xml:space="preserve"> </w:t>
            </w:r>
            <w:proofErr w:type="spellStart"/>
            <w:r w:rsidRPr="00FA72A8">
              <w:rPr>
                <w:rFonts w:ascii="TheSansOffice" w:hAnsi="TheSansOffice" w:cs="Arial"/>
              </w:rPr>
              <w:t>dextra</w:t>
            </w:r>
            <w:proofErr w:type="spellEnd"/>
            <w:r w:rsidRPr="00FA72A8">
              <w:rPr>
                <w:rFonts w:ascii="TheSansOffice" w:hAnsi="TheSansOffice" w:cs="Arial"/>
              </w:rPr>
              <w:t xml:space="preserve">. Wie in entsprechenden Fachpublikationen beschrieben, weisen primäre Lebertumore und Lebermetastasen im Vergleich zu gesunden Lebergewebe eine deutlich vermehrte arterielle Blutversorgung auf. Diese ungleiche arterielle Blutversorgung führt zu einer vermehrten Anreicherung der intraarteriell eingebrachten Mikrosphären im und um den Tumor herum. Viele Faktoren, wie </w:t>
            </w:r>
            <w:r w:rsidRPr="00FA72A8">
              <w:rPr>
                <w:rFonts w:ascii="TheSansOffice" w:hAnsi="TheSansOffice" w:cs="Arial"/>
              </w:rPr>
              <w:lastRenderedPageBreak/>
              <w:t xml:space="preserve">z.B. die Anatomie des Patienten und die Position der </w:t>
            </w:r>
            <w:proofErr w:type="spellStart"/>
            <w:r w:rsidRPr="00FA72A8">
              <w:rPr>
                <w:rFonts w:ascii="TheSansOffice" w:hAnsi="TheSansOffice" w:cs="Arial"/>
              </w:rPr>
              <w:t>Katheterspitze</w:t>
            </w:r>
            <w:proofErr w:type="spellEnd"/>
            <w:r w:rsidRPr="00FA72A8">
              <w:rPr>
                <w:rFonts w:ascii="TheSansOffice" w:hAnsi="TheSansOffice" w:cs="Arial"/>
              </w:rPr>
              <w:t>, beeinflussen dieses Verhalten. Daher ist entscheidend, die Auf</w:t>
            </w:r>
            <w:r w:rsidR="0085271F">
              <w:rPr>
                <w:rFonts w:ascii="TheSansOffice" w:hAnsi="TheSansOffice" w:cs="Arial"/>
              </w:rPr>
              <w:t>nahme der Mikrosphären im Tumor</w:t>
            </w:r>
            <w:r w:rsidRPr="00FA72A8">
              <w:rPr>
                <w:rFonts w:ascii="TheSansOffice" w:hAnsi="TheSansOffice" w:cs="Arial"/>
              </w:rPr>
              <w:t>gebiet nach der SIRT-Behandlung mittels Bildgebung zu beurteilen und zu verifizieren.</w:t>
            </w:r>
          </w:p>
          <w:p w14:paraId="66CE615F" w14:textId="77777777" w:rsidR="0090456E" w:rsidRPr="00FA72A8" w:rsidRDefault="0090456E" w:rsidP="00FA72A8">
            <w:pPr>
              <w:rPr>
                <w:rFonts w:ascii="TheSansOffice" w:hAnsi="TheSansOffice" w:cs="Arial"/>
              </w:rPr>
            </w:pPr>
          </w:p>
          <w:p w14:paraId="3F672A1A" w14:textId="7D4FD917" w:rsidR="0085271F" w:rsidRDefault="00FA72A8" w:rsidP="00FA72A8">
            <w:pPr>
              <w:rPr>
                <w:rFonts w:ascii="TheSansOffice" w:hAnsi="TheSansOffice" w:cs="Arial"/>
              </w:rPr>
            </w:pPr>
            <w:r w:rsidRPr="00FA72A8">
              <w:rPr>
                <w:rFonts w:ascii="TheSansOffice" w:hAnsi="TheSansOffice" w:cs="Arial"/>
              </w:rPr>
              <w:t xml:space="preserve">Die Mikrosphären des </w:t>
            </w:r>
            <w:proofErr w:type="spellStart"/>
            <w:r w:rsidRPr="00FA72A8">
              <w:rPr>
                <w:rFonts w:ascii="TheSansOffice" w:hAnsi="TheSansOffice" w:cs="Arial"/>
              </w:rPr>
              <w:t>TheraSphere</w:t>
            </w:r>
            <w:proofErr w:type="spellEnd"/>
            <w:r w:rsidR="00443FDF" w:rsidRPr="00C05804">
              <w:rPr>
                <w:rFonts w:ascii="TheSansOffice" w:hAnsi="TheSansOffice" w:cs="Arial"/>
                <w:vertAlign w:val="superscript"/>
              </w:rPr>
              <w:t>®</w:t>
            </w:r>
            <w:r w:rsidRPr="00FA72A8">
              <w:rPr>
                <w:rFonts w:ascii="TheSansOffice" w:hAnsi="TheSansOffice" w:cs="Arial"/>
              </w:rPr>
              <w:t>-Produkts (und der SIR-</w:t>
            </w:r>
            <w:proofErr w:type="spellStart"/>
            <w:r w:rsidRPr="00FA72A8">
              <w:rPr>
                <w:rFonts w:ascii="TheSansOffice" w:hAnsi="TheSansOffice" w:cs="Arial"/>
              </w:rPr>
              <w:t>Spheres</w:t>
            </w:r>
            <w:proofErr w:type="spellEnd"/>
            <w:r w:rsidR="00443FDF" w:rsidRPr="00E87BC7">
              <w:rPr>
                <w:rFonts w:ascii="TheSansOffice" w:hAnsi="TheSansOffice" w:cs="Arial"/>
                <w:vertAlign w:val="superscript"/>
              </w:rPr>
              <w:t>®</w:t>
            </w:r>
            <w:r w:rsidRPr="00FA72A8">
              <w:rPr>
                <w:rFonts w:ascii="TheSansOffice" w:hAnsi="TheSansOffice" w:cs="Arial"/>
              </w:rPr>
              <w:t>) basieren auf Yttrium-90, dessen Abbildungsfähigkeiten von Natur aus begrenzt sind.</w:t>
            </w:r>
          </w:p>
          <w:p w14:paraId="5640C134" w14:textId="77777777" w:rsidR="0090456E" w:rsidRDefault="0090456E" w:rsidP="0090456E">
            <w:pPr>
              <w:rPr>
                <w:rFonts w:ascii="TheSansOffice" w:hAnsi="TheSansOffice" w:cs="Arial"/>
              </w:rPr>
            </w:pPr>
          </w:p>
          <w:p w14:paraId="0D40D0DE" w14:textId="1B7C25D4" w:rsidR="0090456E" w:rsidRDefault="0090456E" w:rsidP="0090456E">
            <w:pPr>
              <w:rPr>
                <w:rFonts w:ascii="TheSansOffice" w:hAnsi="TheSansOffice" w:cs="Arial"/>
              </w:rPr>
            </w:pPr>
            <w:r>
              <w:rPr>
                <w:rFonts w:ascii="TheSansOffice" w:hAnsi="TheSansOffice" w:cs="Arial"/>
              </w:rPr>
              <w:t xml:space="preserve">Bei der neuen Methode sind die Mikrosphären mit </w:t>
            </w:r>
            <w:r w:rsidRPr="00FA72A8">
              <w:rPr>
                <w:rFonts w:ascii="TheSansOffice" w:hAnsi="TheSansOffice" w:cs="Arial"/>
              </w:rPr>
              <w:t>Holmium-166</w:t>
            </w:r>
            <w:r>
              <w:rPr>
                <w:rFonts w:ascii="TheSansOffice" w:hAnsi="TheSansOffice" w:cs="Arial"/>
              </w:rPr>
              <w:t xml:space="preserve"> beladen </w:t>
            </w:r>
            <w:r w:rsidRPr="00FA72A8">
              <w:rPr>
                <w:rFonts w:ascii="TheSansOffice" w:hAnsi="TheSansOffice" w:cs="Arial"/>
              </w:rPr>
              <w:t>(</w:t>
            </w:r>
            <w:proofErr w:type="spellStart"/>
            <w:r w:rsidRPr="00FA72A8">
              <w:rPr>
                <w:rFonts w:ascii="TheSansOffice" w:hAnsi="TheSansOffice" w:cs="Arial"/>
              </w:rPr>
              <w:t>QuiremSpheres</w:t>
            </w:r>
            <w:proofErr w:type="spellEnd"/>
            <w:r w:rsidRPr="00386EBF">
              <w:rPr>
                <w:rFonts w:ascii="TheSansOffice" w:hAnsi="TheSansOffice" w:cs="Arial"/>
                <w:vertAlign w:val="superscript"/>
              </w:rPr>
              <w:t>®</w:t>
            </w:r>
            <w:r w:rsidRPr="00FA72A8">
              <w:rPr>
                <w:rFonts w:ascii="TheSansOffice" w:hAnsi="TheSansOffice" w:cs="Arial"/>
              </w:rPr>
              <w:t>)</w:t>
            </w:r>
            <w:r>
              <w:rPr>
                <w:rFonts w:ascii="TheSansOffice" w:hAnsi="TheSansOffice" w:cs="Arial"/>
              </w:rPr>
              <w:t>. W</w:t>
            </w:r>
            <w:r w:rsidR="00257426">
              <w:rPr>
                <w:rFonts w:ascii="TheSansOffice" w:hAnsi="TheSansOffice" w:cs="Arial"/>
              </w:rPr>
              <w:t xml:space="preserve">eitere </w:t>
            </w:r>
            <w:r>
              <w:rPr>
                <w:rFonts w:ascii="TheSansOffice" w:hAnsi="TheSansOffice" w:cs="Arial"/>
              </w:rPr>
              <w:t xml:space="preserve">Bestandteile </w:t>
            </w:r>
            <w:r w:rsidR="00257426">
              <w:rPr>
                <w:rFonts w:ascii="TheSansOffice" w:hAnsi="TheSansOffice" w:cs="Arial"/>
              </w:rPr>
              <w:t>von</w:t>
            </w:r>
            <w:r>
              <w:rPr>
                <w:rFonts w:ascii="TheSansOffice" w:hAnsi="TheSansOffice" w:cs="Arial"/>
              </w:rPr>
              <w:t xml:space="preserve"> SIRT mit Holmium-166 sind die Scout Dose auf Basis von Holmium</w:t>
            </w:r>
            <w:r w:rsidR="00FF6A96">
              <w:rPr>
                <w:rFonts w:ascii="TheSansOffice" w:hAnsi="TheSansOffice" w:cs="Arial"/>
              </w:rPr>
              <w:t xml:space="preserve"> in geringer Menge</w:t>
            </w:r>
            <w:r>
              <w:rPr>
                <w:rFonts w:ascii="TheSansOffice" w:hAnsi="TheSansOffice" w:cs="Arial"/>
              </w:rPr>
              <w:t xml:space="preserve"> </w:t>
            </w:r>
            <w:r w:rsidRPr="008D716B">
              <w:rPr>
                <w:rFonts w:ascii="TheSansOffice" w:hAnsi="TheSansOffice" w:cs="Arial"/>
              </w:rPr>
              <w:t>(</w:t>
            </w:r>
            <w:proofErr w:type="spellStart"/>
            <w:r w:rsidRPr="008D716B">
              <w:rPr>
                <w:rFonts w:ascii="TheSansOffice" w:hAnsi="TheSansOffice" w:cs="Arial"/>
              </w:rPr>
              <w:t>QuiremScout</w:t>
            </w:r>
            <w:proofErr w:type="spellEnd"/>
            <w:r w:rsidR="00967BCA" w:rsidRPr="00A44B96">
              <w:rPr>
                <w:rFonts w:ascii="TheSansOffice" w:hAnsi="TheSansOffice" w:cs="Arial"/>
                <w:vertAlign w:val="superscript"/>
              </w:rPr>
              <w:t>®</w:t>
            </w:r>
            <w:r w:rsidRPr="008D716B">
              <w:rPr>
                <w:rFonts w:ascii="TheSansOffice" w:hAnsi="TheSansOffice" w:cs="Arial"/>
              </w:rPr>
              <w:t>)</w:t>
            </w:r>
            <w:r>
              <w:rPr>
                <w:rFonts w:ascii="TheSansOffice" w:hAnsi="TheSansOffice" w:cs="Arial"/>
              </w:rPr>
              <w:t xml:space="preserve"> und</w:t>
            </w:r>
            <w:r w:rsidR="00257426">
              <w:rPr>
                <w:rFonts w:ascii="TheSansOffice" w:hAnsi="TheSansOffice" w:cs="Arial"/>
              </w:rPr>
              <w:t xml:space="preserve"> ein</w:t>
            </w:r>
            <w:r>
              <w:rPr>
                <w:rFonts w:ascii="TheSansOffice" w:hAnsi="TheSansOffice" w:cs="Arial"/>
              </w:rPr>
              <w:t xml:space="preserve"> </w:t>
            </w:r>
            <w:r w:rsidR="00257426" w:rsidRPr="00473BD4">
              <w:rPr>
                <w:rFonts w:ascii="TheSansOffice" w:hAnsi="TheSansOffice" w:cs="Arial"/>
              </w:rPr>
              <w:t>Softwarepaket zur quantitativen Analyse der Hol</w:t>
            </w:r>
            <w:r w:rsidR="00257426">
              <w:rPr>
                <w:rFonts w:ascii="TheSansOffice" w:hAnsi="TheSansOffice" w:cs="Arial"/>
              </w:rPr>
              <w:t>m</w:t>
            </w:r>
            <w:r w:rsidR="00257426" w:rsidRPr="00473BD4">
              <w:rPr>
                <w:rFonts w:ascii="TheSansOffice" w:hAnsi="TheSansOffice" w:cs="Arial"/>
              </w:rPr>
              <w:t>ium-166 Verteilung</w:t>
            </w:r>
            <w:r w:rsidR="00257426">
              <w:rPr>
                <w:rFonts w:ascii="TheSansOffice" w:hAnsi="TheSansOffice" w:cs="Arial"/>
              </w:rPr>
              <w:t xml:space="preserve"> (Q-</w:t>
            </w:r>
            <w:proofErr w:type="spellStart"/>
            <w:r w:rsidR="00257426">
              <w:rPr>
                <w:rFonts w:ascii="TheSansOffice" w:hAnsi="TheSansOffice" w:cs="Arial"/>
              </w:rPr>
              <w:t>Suite</w:t>
            </w:r>
            <w:r w:rsidR="00257426" w:rsidRPr="00257426">
              <w:rPr>
                <w:rFonts w:ascii="TheSansOffice" w:hAnsi="TheSansOffice" w:cs="Arial"/>
                <w:vertAlign w:val="superscript"/>
              </w:rPr>
              <w:t>TM</w:t>
            </w:r>
            <w:proofErr w:type="spellEnd"/>
            <w:r w:rsidR="00257426">
              <w:rPr>
                <w:rFonts w:ascii="TheSansOffice" w:hAnsi="TheSansOffice" w:cs="Arial"/>
              </w:rPr>
              <w:t>).</w:t>
            </w:r>
          </w:p>
          <w:p w14:paraId="0B109798" w14:textId="3BC43601" w:rsidR="00FA72A8" w:rsidRPr="00FA72A8" w:rsidRDefault="00FA72A8" w:rsidP="00FA72A8">
            <w:pPr>
              <w:rPr>
                <w:rFonts w:ascii="TheSansOffice" w:hAnsi="TheSansOffice" w:cs="Arial"/>
              </w:rPr>
            </w:pPr>
          </w:p>
          <w:p w14:paraId="16945E8A" w14:textId="0499C664" w:rsidR="00FA72A8" w:rsidRDefault="00FA72A8" w:rsidP="00FA72A8">
            <w:pPr>
              <w:rPr>
                <w:rFonts w:ascii="TheSansOffice" w:hAnsi="TheSansOffice" w:cs="Arial"/>
              </w:rPr>
            </w:pPr>
            <w:r w:rsidRPr="00FA72A8">
              <w:rPr>
                <w:rFonts w:ascii="TheSansOffice" w:hAnsi="TheSansOffice" w:cs="Arial"/>
              </w:rPr>
              <w:t>Da Holmium-166-Mikrosphären ein primäres Gamma-Photon emittieren und paramagnetische Eigenschaften aufweisen, biete</w:t>
            </w:r>
            <w:r w:rsidR="00443FDF">
              <w:rPr>
                <w:rFonts w:ascii="TheSansOffice" w:hAnsi="TheSansOffice" w:cs="Arial"/>
              </w:rPr>
              <w:t>n</w:t>
            </w:r>
            <w:r w:rsidRPr="00FA72A8">
              <w:rPr>
                <w:rFonts w:ascii="TheSansOffice" w:hAnsi="TheSansOffice" w:cs="Arial"/>
              </w:rPr>
              <w:t xml:space="preserve"> sie erweiterte und quantitative Abbildungsmöglichkeiten mittels SPECT und MRT. Dies ermöglicht Ärzten, die Biodistribution der Holmium-Mikrosphären nach der Behandlung genau und quantitativ zu beurteilen und zu verifizieren. </w:t>
            </w:r>
          </w:p>
          <w:p w14:paraId="31D45E5C" w14:textId="77777777" w:rsidR="0085271F" w:rsidRPr="00FA72A8" w:rsidRDefault="0085271F" w:rsidP="00FA72A8">
            <w:pPr>
              <w:rPr>
                <w:rFonts w:ascii="TheSansOffice" w:hAnsi="TheSansOffice" w:cs="Arial"/>
              </w:rPr>
            </w:pPr>
          </w:p>
          <w:p w14:paraId="54FB9013" w14:textId="3B5F4A29" w:rsidR="00FA72A8" w:rsidRDefault="00FA72A8" w:rsidP="00FA72A8">
            <w:pPr>
              <w:rPr>
                <w:rFonts w:ascii="TheSansOffice" w:hAnsi="TheSansOffice" w:cs="Arial"/>
              </w:rPr>
            </w:pPr>
            <w:r w:rsidRPr="00FA72A8">
              <w:rPr>
                <w:rFonts w:ascii="TheSansOffice" w:hAnsi="TheSansOffice" w:cs="Arial"/>
              </w:rPr>
              <w:t xml:space="preserve">Es ist zu erwarten, dass die Integration einer solchen fortschrittlichen Bildgebung nach der Behandlung zu einem besseren Gesamtverständnis der Behandlungsdynamik führt und eine Qualitätskontrolle der einzelnen Patienten ermöglicht. Dies ist von besonderem Interesse, da Holmium-166 beladene Mikrosphären nicht </w:t>
            </w:r>
            <w:proofErr w:type="spellStart"/>
            <w:r w:rsidRPr="00FA72A8">
              <w:rPr>
                <w:rFonts w:ascii="TheSansOffice" w:hAnsi="TheSansOffice" w:cs="Arial"/>
              </w:rPr>
              <w:t>metabolisiert</w:t>
            </w:r>
            <w:proofErr w:type="spellEnd"/>
            <w:r w:rsidRPr="00FA72A8">
              <w:rPr>
                <w:rFonts w:ascii="TheSansOffice" w:hAnsi="TheSansOffice" w:cs="Arial"/>
              </w:rPr>
              <w:t xml:space="preserve"> oder </w:t>
            </w:r>
            <w:proofErr w:type="spellStart"/>
            <w:r w:rsidRPr="00FA72A8">
              <w:rPr>
                <w:rFonts w:ascii="TheSansOffice" w:hAnsi="TheSansOffice" w:cs="Arial"/>
              </w:rPr>
              <w:t>exkretiert</w:t>
            </w:r>
            <w:proofErr w:type="spellEnd"/>
            <w:r w:rsidRPr="00FA72A8">
              <w:rPr>
                <w:rFonts w:ascii="TheSansOffice" w:hAnsi="TheSansOffice" w:cs="Arial"/>
              </w:rPr>
              <w:t xml:space="preserve"> werden, sondern in der Leber verbleiben [1]. </w:t>
            </w:r>
            <w:r w:rsidR="00FF6A96">
              <w:rPr>
                <w:rFonts w:ascii="TheSansOffice" w:hAnsi="TheSansOffice" w:cs="Arial"/>
              </w:rPr>
              <w:t>Von besonderer Bedeutung</w:t>
            </w:r>
            <w:r w:rsidR="00FF6A96" w:rsidRPr="00FF6A96">
              <w:rPr>
                <w:rFonts w:ascii="TheSansOffice" w:hAnsi="TheSansOffice" w:cs="Arial"/>
              </w:rPr>
              <w:t xml:space="preserve"> ist, dass die verbesserte Abbildungsfähigkeit von Homlium-166 eine personalisierte Behandlungsplanung ermöglicht.</w:t>
            </w:r>
          </w:p>
          <w:p w14:paraId="3B34C49E" w14:textId="77777777" w:rsidR="0085271F" w:rsidRPr="00FA72A8" w:rsidRDefault="0085271F" w:rsidP="00FA72A8">
            <w:pPr>
              <w:rPr>
                <w:rFonts w:ascii="TheSansOffice" w:hAnsi="TheSansOffice" w:cs="Arial"/>
              </w:rPr>
            </w:pPr>
          </w:p>
          <w:p w14:paraId="51D30EBB" w14:textId="53B38FEE" w:rsidR="00FA72A8" w:rsidRDefault="00FA72A8" w:rsidP="00FA72A8">
            <w:pPr>
              <w:rPr>
                <w:rFonts w:ascii="TheSansOffice" w:hAnsi="TheSansOffice" w:cs="Arial"/>
              </w:rPr>
            </w:pPr>
            <w:r w:rsidRPr="00FA72A8">
              <w:rPr>
                <w:rFonts w:ascii="TheSansOffice" w:hAnsi="TheSansOffice" w:cs="Arial"/>
              </w:rPr>
              <w:t>Dies ist aktuell im Zusammenhang mit der kürzlich erfolgten Umsetzung der EURATOM-Richtlinie, die in der Strahlentherapie, einschließlich der Nuklearmedizin, die Anforderung stellt, die Energiedosis nach der Behandlung zu überprüfen und damit die Qualität der Behandlung</w:t>
            </w:r>
            <w:r w:rsidR="00257426">
              <w:rPr>
                <w:rFonts w:ascii="TheSansOffice" w:hAnsi="TheSansOffice" w:cs="Arial"/>
              </w:rPr>
              <w:t>,</w:t>
            </w:r>
            <w:r w:rsidRPr="00FA72A8">
              <w:rPr>
                <w:rFonts w:ascii="TheSansOffice" w:hAnsi="TheSansOffice" w:cs="Arial"/>
              </w:rPr>
              <w:t xml:space="preserve"> zu gewährleisten. Alle EU-Staaten müssen die Einhaltung der EU-Richtlinie 2013/59/</w:t>
            </w:r>
            <w:proofErr w:type="spellStart"/>
            <w:r w:rsidRPr="00FA72A8">
              <w:rPr>
                <w:rFonts w:ascii="TheSansOffice" w:hAnsi="TheSansOffice" w:cs="Arial"/>
              </w:rPr>
              <w:t>Euratom</w:t>
            </w:r>
            <w:proofErr w:type="spellEnd"/>
            <w:r w:rsidRPr="00FA72A8">
              <w:rPr>
                <w:rFonts w:ascii="TheSansOffice" w:hAnsi="TheSansOffice" w:cs="Arial"/>
              </w:rPr>
              <w:t xml:space="preserve"> ab dem 6. Februar 2018 sicherstellen. </w:t>
            </w:r>
          </w:p>
          <w:p w14:paraId="5D32554A" w14:textId="77777777" w:rsidR="002B6A8E" w:rsidRDefault="002B6A8E" w:rsidP="00FA72A8">
            <w:pPr>
              <w:rPr>
                <w:rFonts w:ascii="TheSansOffice" w:hAnsi="TheSansOffice" w:cs="Arial"/>
              </w:rPr>
            </w:pPr>
          </w:p>
          <w:p w14:paraId="58C1E164" w14:textId="0177B88F" w:rsidR="00F16046" w:rsidRDefault="003B01B5" w:rsidP="003B01B5">
            <w:pPr>
              <w:rPr>
                <w:rFonts w:ascii="TheSansOffice" w:hAnsi="TheSansOffice" w:cs="Arial"/>
              </w:rPr>
            </w:pPr>
            <w:r>
              <w:rPr>
                <w:rFonts w:ascii="TheSansOffice" w:hAnsi="TheSansOffice" w:cs="Arial"/>
              </w:rPr>
              <w:t xml:space="preserve">Die Scout Dose auf Basis von Holmium-166 ist die erste Scout Dose, die zur optimierten Patientenauswahl und verbesserter Therapieplanung die gleiche Technologie nutzt, wie bei der eigentlichen Therapie zum Einsatz kommt. </w:t>
            </w:r>
            <w:r w:rsidR="00F16046" w:rsidRPr="00F16046">
              <w:rPr>
                <w:rFonts w:ascii="TheSansOffice" w:hAnsi="TheSansOffice"/>
              </w:rPr>
              <w:t>Außerdem ist die Scout Dose das einzige Produkt, das speziell zur Vorbereitung und Planung der SIRT entwickelt wurde.</w:t>
            </w:r>
          </w:p>
          <w:p w14:paraId="513F772F" w14:textId="084DD538" w:rsidR="003B01B5" w:rsidRDefault="008D716B" w:rsidP="008D716B">
            <w:pPr>
              <w:rPr>
                <w:rFonts w:ascii="TheSansOffice" w:hAnsi="TheSansOffice" w:cs="Arial"/>
              </w:rPr>
            </w:pPr>
            <w:r w:rsidRPr="008D716B">
              <w:rPr>
                <w:rFonts w:ascii="TheSansOffice" w:hAnsi="TheSansOffice" w:cs="Arial"/>
              </w:rPr>
              <w:t xml:space="preserve">Mit </w:t>
            </w:r>
            <w:r w:rsidR="00257426">
              <w:rPr>
                <w:rFonts w:ascii="TheSansOffice" w:hAnsi="TheSansOffice" w:cs="Arial"/>
              </w:rPr>
              <w:t>der</w:t>
            </w:r>
            <w:r w:rsidR="00257426" w:rsidRPr="008D716B">
              <w:rPr>
                <w:rFonts w:ascii="TheSansOffice" w:hAnsi="TheSansOffice" w:cs="Arial"/>
              </w:rPr>
              <w:t xml:space="preserve"> </w:t>
            </w:r>
            <w:r w:rsidRPr="008D716B">
              <w:rPr>
                <w:rFonts w:ascii="TheSansOffice" w:hAnsi="TheSansOffice" w:cs="Arial"/>
              </w:rPr>
              <w:t>Scout Dose auf Basis von Holmium-166 kann der verantwortliche Arzt bereits vor Einleitung der eigentlichen Therapie erfolgsrelevante Indikatoren überprüfen.</w:t>
            </w:r>
          </w:p>
          <w:p w14:paraId="35531830" w14:textId="15725005" w:rsidR="004F2C6A" w:rsidRDefault="00967BCA" w:rsidP="008D716B">
            <w:pPr>
              <w:rPr>
                <w:rFonts w:ascii="TheSansOffice" w:hAnsi="TheSansOffice" w:cs="Arial"/>
              </w:rPr>
            </w:pPr>
            <w:r>
              <w:rPr>
                <w:rFonts w:ascii="TheSansOffice" w:hAnsi="TheSansOffice" w:cs="Arial"/>
              </w:rPr>
              <w:t>Die Scout Dose auf Basis von Holmium-166 bietet</w:t>
            </w:r>
            <w:r w:rsidR="008D716B" w:rsidRPr="008D716B">
              <w:rPr>
                <w:rFonts w:ascii="TheSansOffice" w:hAnsi="TheSansOffice" w:cs="Arial"/>
              </w:rPr>
              <w:t xml:space="preserve"> folgende Vorteile: </w:t>
            </w:r>
          </w:p>
          <w:p w14:paraId="4B8EF739" w14:textId="5D7482B1" w:rsidR="008D716B" w:rsidRDefault="004F2C6A" w:rsidP="004F2C6A">
            <w:pPr>
              <w:rPr>
                <w:rFonts w:ascii="TheSansOffice" w:hAnsi="TheSansOffice" w:cs="Arial"/>
              </w:rPr>
            </w:pPr>
            <w:r w:rsidRPr="004F2C6A">
              <w:rPr>
                <w:rFonts w:ascii="TheSansOffice" w:hAnsi="TheSansOffice" w:cs="Arial"/>
              </w:rPr>
              <w:lastRenderedPageBreak/>
              <w:t>-</w:t>
            </w:r>
            <w:r>
              <w:rPr>
                <w:rFonts w:ascii="TheSansOffice" w:hAnsi="TheSansOffice" w:cs="Arial"/>
              </w:rPr>
              <w:t xml:space="preserve"> </w:t>
            </w:r>
            <w:r w:rsidR="008D716B" w:rsidRPr="00FC6214">
              <w:rPr>
                <w:rFonts w:ascii="TheSansOffice" w:hAnsi="TheSansOffice" w:cs="Arial"/>
              </w:rPr>
              <w:t>Die Scout Dose verhält sich in physikalischer, biochemischer und physiologischer Hinsicht wie das später verwendete nuklearmedizinische Bestrahlungsmedium</w:t>
            </w:r>
            <w:r w:rsidR="00983196">
              <w:rPr>
                <w:rFonts w:ascii="TheSansOffice" w:hAnsi="TheSansOffice" w:cs="Arial"/>
              </w:rPr>
              <w:t>.</w:t>
            </w:r>
          </w:p>
          <w:p w14:paraId="50BABBE3" w14:textId="59C6A6F4" w:rsidR="004F2C6A" w:rsidRDefault="004F2C6A" w:rsidP="004F2C6A">
            <w:pPr>
              <w:rPr>
                <w:rFonts w:ascii="TheSansOffice" w:hAnsi="TheSansOffice" w:cs="Arial"/>
              </w:rPr>
            </w:pPr>
            <w:r>
              <w:rPr>
                <w:rFonts w:ascii="TheSansOffice" w:hAnsi="TheSansOffice" w:cs="Arial"/>
              </w:rPr>
              <w:t>- Durch die Verwendung der gleichen Mikrosphären mit geringerer Dosis soll die Genauigkeit der SIRT verbessert werden</w:t>
            </w:r>
            <w:r w:rsidR="00983196">
              <w:rPr>
                <w:rFonts w:ascii="TheSansOffice" w:hAnsi="TheSansOffice" w:cs="Arial"/>
              </w:rPr>
              <w:t>.</w:t>
            </w:r>
          </w:p>
          <w:p w14:paraId="371A7457" w14:textId="34FFB2A3" w:rsidR="004F2C6A" w:rsidRDefault="004F2C6A" w:rsidP="004F2C6A">
            <w:pPr>
              <w:rPr>
                <w:rFonts w:ascii="TheSansOffice" w:hAnsi="TheSansOffice" w:cs="Arial"/>
              </w:rPr>
            </w:pPr>
            <w:r>
              <w:rPr>
                <w:rFonts w:ascii="TheSansOffice" w:hAnsi="TheSansOffice" w:cs="Arial"/>
              </w:rPr>
              <w:t>- Die Scout Dose mit Holmium-166 lässt eine genauere Voraussage der Verteilung der Mikrosphären zu und unterstützt damit eine zielsichere Zerstörung der Tumorzellen und Schonung des gesunden Gewebes</w:t>
            </w:r>
            <w:r w:rsidR="00983196">
              <w:rPr>
                <w:rFonts w:ascii="TheSansOffice" w:hAnsi="TheSansOffice" w:cs="Arial"/>
              </w:rPr>
              <w:t>.</w:t>
            </w:r>
          </w:p>
          <w:p w14:paraId="7E942D9F" w14:textId="6EE2067A" w:rsidR="00967BCA" w:rsidRDefault="004F2C6A" w:rsidP="00967BCA">
            <w:pPr>
              <w:rPr>
                <w:rFonts w:ascii="TheSansOffice" w:hAnsi="TheSansOffice" w:cs="Arial"/>
              </w:rPr>
            </w:pPr>
            <w:r>
              <w:rPr>
                <w:rFonts w:ascii="TheSansOffice" w:hAnsi="TheSansOffice" w:cs="Arial"/>
              </w:rPr>
              <w:t xml:space="preserve">- </w:t>
            </w:r>
            <w:r w:rsidR="00967BCA">
              <w:rPr>
                <w:rFonts w:ascii="TheSansOffice" w:hAnsi="TheSansOffice" w:cs="Arial"/>
              </w:rPr>
              <w:t xml:space="preserve">Die genauere Voraussage der Verteilung der Mikrosphären ermöglicht eine genauere Einschätzung, ob ein Patient für die SIRT geeignet ist oder nicht. </w:t>
            </w:r>
            <w:r w:rsidR="00967BCA" w:rsidRPr="008D716B">
              <w:rPr>
                <w:rFonts w:ascii="TheSansOffice" w:hAnsi="TheSansOffice" w:cs="Arial"/>
              </w:rPr>
              <w:t>Holmium-166-Mikrosphären haben im Gegensatz zu Techne</w:t>
            </w:r>
            <w:r w:rsidR="00967BCA">
              <w:rPr>
                <w:rFonts w:ascii="TheSansOffice" w:hAnsi="TheSansOffice" w:cs="Arial"/>
              </w:rPr>
              <w:t>t</w:t>
            </w:r>
            <w:r w:rsidR="00967BCA" w:rsidRPr="008D716B">
              <w:rPr>
                <w:rFonts w:ascii="TheSansOffice" w:hAnsi="TheSansOffice" w:cs="Arial"/>
              </w:rPr>
              <w:t>ium-99m-MAA Partikel</w:t>
            </w:r>
            <w:r w:rsidR="00967BCA">
              <w:rPr>
                <w:rFonts w:ascii="TheSansOffice" w:hAnsi="TheSansOffice" w:cs="Arial"/>
              </w:rPr>
              <w:t>n</w:t>
            </w:r>
            <w:r w:rsidR="00967BCA" w:rsidRPr="008D716B">
              <w:rPr>
                <w:rFonts w:ascii="TheSansOffice" w:hAnsi="TheSansOffice" w:cs="Arial"/>
              </w:rPr>
              <w:t xml:space="preserve"> (1-150 µm)</w:t>
            </w:r>
            <w:r w:rsidR="00C342B5">
              <w:rPr>
                <w:rFonts w:ascii="TheSansOffice" w:hAnsi="TheSansOffice" w:cs="Arial"/>
              </w:rPr>
              <w:t xml:space="preserve">, </w:t>
            </w:r>
            <w:r w:rsidR="00F16046">
              <w:rPr>
                <w:rFonts w:ascii="TheSansOffice" w:hAnsi="TheSansOffice"/>
              </w:rPr>
              <w:t xml:space="preserve">welche aktuell für die </w:t>
            </w:r>
            <w:r w:rsidR="003603DF">
              <w:rPr>
                <w:rFonts w:ascii="TheSansOffice" w:hAnsi="TheSansOffice"/>
              </w:rPr>
              <w:t>Vorbereitung</w:t>
            </w:r>
            <w:r w:rsidR="00F16046">
              <w:rPr>
                <w:rFonts w:ascii="TheSansOffice" w:hAnsi="TheSansOffice"/>
              </w:rPr>
              <w:t xml:space="preserve"> von SIRT verwendet </w:t>
            </w:r>
            <w:r w:rsidR="003603DF">
              <w:rPr>
                <w:rFonts w:ascii="TheSansOffice" w:hAnsi="TheSansOffice"/>
              </w:rPr>
              <w:t>werden</w:t>
            </w:r>
            <w:r w:rsidR="00C342B5">
              <w:rPr>
                <w:rFonts w:ascii="TheSansOffice" w:hAnsi="TheSansOffice" w:cs="Arial"/>
              </w:rPr>
              <w:t>,</w:t>
            </w:r>
            <w:r w:rsidR="00967BCA" w:rsidRPr="008D716B">
              <w:rPr>
                <w:rFonts w:ascii="TheSansOffice" w:hAnsi="TheSansOffice" w:cs="Arial"/>
              </w:rPr>
              <w:t xml:space="preserve"> eine definierte Größe von 15-60 µm</w:t>
            </w:r>
            <w:r w:rsidR="00C342B5">
              <w:rPr>
                <w:rFonts w:ascii="TheSansOffice" w:hAnsi="TheSansOffice" w:cs="Arial"/>
              </w:rPr>
              <w:t>, was mit dem Therapieprodukt vergleichbar ist</w:t>
            </w:r>
            <w:r w:rsidR="00967BCA" w:rsidRPr="008D716B">
              <w:rPr>
                <w:rFonts w:ascii="TheSansOffice" w:hAnsi="TheSansOffice" w:cs="Arial"/>
              </w:rPr>
              <w:t xml:space="preserve">. Im Gegensatz zu Technetium behalten sie auch während der Intervention ihre ursprüngliche Größe und verhindern dadurch falsch positive Ergebnisse zum Grad eines Leber-Lungen-Shunts </w:t>
            </w:r>
            <w:r w:rsidR="00967BCA">
              <w:rPr>
                <w:rFonts w:ascii="TheSansOffice" w:hAnsi="TheSansOffice" w:cs="Arial"/>
              </w:rPr>
              <w:t>[2]</w:t>
            </w:r>
            <w:r w:rsidR="00983196">
              <w:rPr>
                <w:rFonts w:ascii="TheSansOffice" w:hAnsi="TheSansOffice" w:cs="Arial"/>
              </w:rPr>
              <w:t>.</w:t>
            </w:r>
          </w:p>
          <w:p w14:paraId="0F536932" w14:textId="2F1FF0FA" w:rsidR="00967BCA" w:rsidRDefault="00967BCA" w:rsidP="00967BCA">
            <w:pPr>
              <w:rPr>
                <w:rFonts w:ascii="TheSansOffice" w:hAnsi="TheSansOffice" w:cs="Arial"/>
              </w:rPr>
            </w:pPr>
            <w:r>
              <w:rPr>
                <w:rFonts w:ascii="TheSansOffice" w:hAnsi="TheSansOffice" w:cs="Arial"/>
              </w:rPr>
              <w:t>- Im Rahmen der Therapieplanung hilft die Scout Dose Tumorbereiche, die</w:t>
            </w:r>
            <w:r w:rsidR="002579B3">
              <w:rPr>
                <w:rFonts w:ascii="TheSansOffice" w:hAnsi="TheSansOffice" w:cs="Arial"/>
              </w:rPr>
              <w:t xml:space="preserve"> ansonsten</w:t>
            </w:r>
            <w:r>
              <w:rPr>
                <w:rFonts w:ascii="TheSansOffice" w:hAnsi="TheSansOffice" w:cs="Arial"/>
              </w:rPr>
              <w:t xml:space="preserve"> verfehlt werden würden zu identifizieren</w:t>
            </w:r>
            <w:r w:rsidR="0063204C">
              <w:rPr>
                <w:rFonts w:ascii="TheSansOffice" w:hAnsi="TheSansOffice" w:cs="Arial"/>
              </w:rPr>
              <w:t xml:space="preserve"> und ermöglicht </w:t>
            </w:r>
            <w:r w:rsidR="0063204C" w:rsidRPr="008D716B">
              <w:rPr>
                <w:rFonts w:ascii="TheSansOffice" w:hAnsi="TheSansOffice" w:cs="Arial"/>
              </w:rPr>
              <w:t>eine genaue Berechnung der therapeutisch notwendigen Dosis</w:t>
            </w:r>
            <w:r w:rsidR="0063204C">
              <w:rPr>
                <w:rFonts w:ascii="TheSansOffice" w:hAnsi="TheSansOffice" w:cs="Arial"/>
              </w:rPr>
              <w:t xml:space="preserve"> </w:t>
            </w:r>
            <w:r w:rsidR="0063204C" w:rsidRPr="008D716B">
              <w:rPr>
                <w:rFonts w:ascii="TheSansOffice" w:hAnsi="TheSansOffice" w:cs="Arial"/>
              </w:rPr>
              <w:t>für zukünftige Best</w:t>
            </w:r>
            <w:r w:rsidR="0063204C">
              <w:rPr>
                <w:rFonts w:ascii="TheSansOffice" w:hAnsi="TheSansOffice" w:cs="Arial"/>
              </w:rPr>
              <w:t>rahlungsplanungen</w:t>
            </w:r>
            <w:r w:rsidR="00013C21">
              <w:rPr>
                <w:rFonts w:ascii="TheSansOffice" w:hAnsi="TheSansOffice" w:cs="Arial"/>
              </w:rPr>
              <w:t xml:space="preserve"> (</w:t>
            </w:r>
            <w:r w:rsidR="00013C21" w:rsidRPr="008D716B">
              <w:rPr>
                <w:rFonts w:ascii="TheSansOffice" w:hAnsi="TheSansOffice" w:cs="Arial"/>
              </w:rPr>
              <w:t>Unsicherheiten wie bei Verwendung von Technetium</w:t>
            </w:r>
            <w:r w:rsidR="00013C21">
              <w:rPr>
                <w:rFonts w:ascii="TheSansOffice" w:hAnsi="TheSansOffice" w:cs="Arial"/>
              </w:rPr>
              <w:t>-99m entfallen)</w:t>
            </w:r>
            <w:r w:rsidR="00983196">
              <w:rPr>
                <w:rFonts w:ascii="TheSansOffice" w:hAnsi="TheSansOffice" w:cs="Arial"/>
              </w:rPr>
              <w:t>.</w:t>
            </w:r>
            <w:r>
              <w:rPr>
                <w:rFonts w:ascii="TheSansOffice" w:hAnsi="TheSansOffice" w:cs="Arial"/>
              </w:rPr>
              <w:t xml:space="preserve"> </w:t>
            </w:r>
          </w:p>
          <w:p w14:paraId="61ABEBF1" w14:textId="1B8756D8" w:rsidR="004F2C6A" w:rsidRPr="00967BCA" w:rsidRDefault="004F2C6A" w:rsidP="004F2C6A">
            <w:pPr>
              <w:rPr>
                <w:rFonts w:ascii="TheSansOffice" w:hAnsi="TheSansOffice" w:cs="Arial"/>
              </w:rPr>
            </w:pPr>
          </w:p>
          <w:p w14:paraId="45ACC95C" w14:textId="59F99FBF" w:rsidR="008D716B" w:rsidRDefault="008D716B" w:rsidP="008D716B">
            <w:pPr>
              <w:rPr>
                <w:rFonts w:ascii="TheSansOffice" w:hAnsi="TheSansOffice" w:cs="Arial"/>
              </w:rPr>
            </w:pPr>
            <w:r w:rsidRPr="008D716B">
              <w:rPr>
                <w:rFonts w:ascii="TheSansOffice" w:hAnsi="TheSansOffice" w:cs="Arial"/>
              </w:rPr>
              <w:t xml:space="preserve">Die CE-Mark wird für </w:t>
            </w:r>
            <w:r w:rsidR="00ED3C06">
              <w:rPr>
                <w:rFonts w:ascii="TheSansOffice" w:hAnsi="TheSansOffice" w:cs="Arial"/>
              </w:rPr>
              <w:t>Oktober</w:t>
            </w:r>
            <w:r w:rsidR="00ED3C06" w:rsidRPr="008D716B">
              <w:rPr>
                <w:rFonts w:ascii="TheSansOffice" w:hAnsi="TheSansOffice" w:cs="Arial"/>
              </w:rPr>
              <w:t xml:space="preserve"> </w:t>
            </w:r>
            <w:r w:rsidRPr="008D716B">
              <w:rPr>
                <w:rFonts w:ascii="TheSansOffice" w:hAnsi="TheSansOffice" w:cs="Arial"/>
              </w:rPr>
              <w:t>2018 erwartet.</w:t>
            </w:r>
          </w:p>
          <w:p w14:paraId="54AF7FF0" w14:textId="77777777" w:rsidR="008D716B" w:rsidRDefault="008D716B" w:rsidP="00FA72A8">
            <w:pPr>
              <w:rPr>
                <w:rFonts w:ascii="TheSansOffice" w:hAnsi="TheSansOffice" w:cs="Arial"/>
              </w:rPr>
            </w:pPr>
          </w:p>
          <w:p w14:paraId="1A2EC8E4" w14:textId="30129A20" w:rsidR="008D716B" w:rsidRDefault="008D716B" w:rsidP="00FA72A8">
            <w:pPr>
              <w:rPr>
                <w:rFonts w:ascii="TheSansOffice" w:hAnsi="TheSansOffice" w:cs="Arial"/>
              </w:rPr>
            </w:pPr>
            <w:r w:rsidRPr="008D716B">
              <w:rPr>
                <w:rFonts w:ascii="TheSansOffice" w:hAnsi="TheSansOffice" w:cs="Arial"/>
              </w:rPr>
              <w:t>Behandlungsrelevante Risikoabschätzung und Ermittlung von Kontraindikationen</w:t>
            </w:r>
            <w:r>
              <w:rPr>
                <w:rFonts w:ascii="TheSansOffice" w:hAnsi="TheSansOffice" w:cs="Arial"/>
              </w:rPr>
              <w:t>:</w:t>
            </w:r>
          </w:p>
          <w:p w14:paraId="09C2430D" w14:textId="4AE1F234" w:rsidR="008D716B" w:rsidRPr="008D716B" w:rsidRDefault="008D716B" w:rsidP="008D716B">
            <w:pPr>
              <w:rPr>
                <w:rFonts w:ascii="TheSansOffice" w:hAnsi="TheSansOffice" w:cs="Arial"/>
              </w:rPr>
            </w:pPr>
            <w:r w:rsidRPr="008D716B">
              <w:rPr>
                <w:rFonts w:ascii="TheSansOffice" w:hAnsi="TheSansOffice" w:cs="Arial"/>
              </w:rPr>
              <w:t>-</w:t>
            </w:r>
            <w:r>
              <w:rPr>
                <w:rFonts w:ascii="TheSansOffice" w:hAnsi="TheSansOffice" w:cs="Arial"/>
              </w:rPr>
              <w:t xml:space="preserve"> </w:t>
            </w:r>
            <w:r w:rsidRPr="008D716B">
              <w:rPr>
                <w:rFonts w:ascii="TheSansOffice" w:hAnsi="TheSansOffice" w:cs="Arial"/>
              </w:rPr>
              <w:t xml:space="preserve">Bei Patienten mit </w:t>
            </w:r>
            <w:proofErr w:type="spellStart"/>
            <w:r w:rsidRPr="008D716B">
              <w:rPr>
                <w:rFonts w:ascii="TheSansOffice" w:hAnsi="TheSansOffice" w:cs="Arial"/>
              </w:rPr>
              <w:t>hepatozellulärem</w:t>
            </w:r>
            <w:proofErr w:type="spellEnd"/>
            <w:r w:rsidRPr="008D716B">
              <w:rPr>
                <w:rFonts w:ascii="TheSansOffice" w:hAnsi="TheSansOffice" w:cs="Arial"/>
              </w:rPr>
              <w:t xml:space="preserve"> Karzinom bzw. hepatischen Metastasen finden sich überdurchschnittlich häufig </w:t>
            </w:r>
            <w:proofErr w:type="spellStart"/>
            <w:r w:rsidRPr="008D716B">
              <w:rPr>
                <w:rFonts w:ascii="TheSansOffice" w:hAnsi="TheSansOffice" w:cs="Arial"/>
              </w:rPr>
              <w:t>arteriovenöse</w:t>
            </w:r>
            <w:proofErr w:type="spellEnd"/>
            <w:r w:rsidRPr="008D716B">
              <w:rPr>
                <w:rFonts w:ascii="TheSansOffice" w:hAnsi="TheSansOffice" w:cs="Arial"/>
              </w:rPr>
              <w:t xml:space="preserve"> Kurzschlüsse. Diese Malformationen begünstigen den vermehrten Übertritt radioaktiver Substanzen aus der Leber in die Lunge</w:t>
            </w:r>
            <w:r w:rsidR="00E115B0">
              <w:rPr>
                <w:rFonts w:ascii="TheSansOffice" w:hAnsi="TheSansOffice" w:cs="Arial"/>
              </w:rPr>
              <w:t xml:space="preserve"> (Leber-Lungen-Shunts)</w:t>
            </w:r>
            <w:r w:rsidRPr="008D716B">
              <w:rPr>
                <w:rFonts w:ascii="TheSansOffice" w:hAnsi="TheSansOffice" w:cs="Arial"/>
              </w:rPr>
              <w:t>. Die verminderte physiologische Strahlentoleranz der Lunge wird während einer SIRT Behandlung deutlich überschritten und begün</w:t>
            </w:r>
            <w:r>
              <w:rPr>
                <w:rFonts w:ascii="TheSansOffice" w:hAnsi="TheSansOffice" w:cs="Arial"/>
              </w:rPr>
              <w:t xml:space="preserve">stigt eine </w:t>
            </w:r>
            <w:proofErr w:type="spellStart"/>
            <w:r>
              <w:rPr>
                <w:rFonts w:ascii="TheSansOffice" w:hAnsi="TheSansOffice" w:cs="Arial"/>
              </w:rPr>
              <w:t>Strahlenpneumonitis</w:t>
            </w:r>
            <w:proofErr w:type="spellEnd"/>
            <w:r>
              <w:rPr>
                <w:rFonts w:ascii="TheSansOffice" w:hAnsi="TheSansOffice" w:cs="Arial"/>
              </w:rPr>
              <w:t xml:space="preserve"> </w:t>
            </w:r>
            <w:r w:rsidRPr="008D716B">
              <w:rPr>
                <w:rFonts w:ascii="TheSansOffice" w:hAnsi="TheSansOffice" w:cs="Arial"/>
              </w:rPr>
              <w:t>[</w:t>
            </w:r>
            <w:r>
              <w:rPr>
                <w:rFonts w:ascii="TheSansOffice" w:hAnsi="TheSansOffice" w:cs="Arial"/>
              </w:rPr>
              <w:t>5</w:t>
            </w:r>
            <w:r w:rsidRPr="008D716B">
              <w:rPr>
                <w:rFonts w:ascii="TheSansOffice" w:hAnsi="TheSansOffice" w:cs="Arial"/>
              </w:rPr>
              <w:t>]</w:t>
            </w:r>
            <w:r>
              <w:rPr>
                <w:rFonts w:ascii="TheSansOffice" w:hAnsi="TheSansOffice" w:cs="Arial"/>
              </w:rPr>
              <w:t>.</w:t>
            </w:r>
          </w:p>
          <w:p w14:paraId="6BCBEA82" w14:textId="683FB7B3" w:rsidR="008D716B" w:rsidRPr="008D716B" w:rsidRDefault="008D716B" w:rsidP="008D716B">
            <w:pPr>
              <w:rPr>
                <w:rFonts w:ascii="TheSansOffice" w:hAnsi="TheSansOffice" w:cs="Arial"/>
              </w:rPr>
            </w:pPr>
            <w:r>
              <w:rPr>
                <w:rFonts w:ascii="TheSansOffice" w:hAnsi="TheSansOffice" w:cs="Arial"/>
              </w:rPr>
              <w:t xml:space="preserve">- </w:t>
            </w:r>
            <w:r w:rsidRPr="008D716B">
              <w:rPr>
                <w:rFonts w:ascii="TheSansOffice" w:hAnsi="TheSansOffice" w:cs="Arial"/>
              </w:rPr>
              <w:t xml:space="preserve">Andere mögliche extrahepatische Ansammlungen radioaktiv beladener Partikel sind Pankreas, Magen oder Darm. Hier können sich auf Grund physiologischer Gefäßvarianten, wie beispielsweise einer akzessorischen rechten Leberarterie oder einem Reflux in die </w:t>
            </w:r>
            <w:proofErr w:type="spellStart"/>
            <w:r w:rsidRPr="008D716B">
              <w:rPr>
                <w:rFonts w:ascii="TheSansOffice" w:hAnsi="TheSansOffice" w:cs="Arial"/>
              </w:rPr>
              <w:t>Arteria</w:t>
            </w:r>
            <w:proofErr w:type="spellEnd"/>
            <w:r w:rsidRPr="008D716B">
              <w:rPr>
                <w:rFonts w:ascii="TheSansOffice" w:hAnsi="TheSansOffice" w:cs="Arial"/>
              </w:rPr>
              <w:t xml:space="preserve"> </w:t>
            </w:r>
            <w:proofErr w:type="spellStart"/>
            <w:r w:rsidRPr="008D716B">
              <w:rPr>
                <w:rFonts w:ascii="TheSansOffice" w:hAnsi="TheSansOffice" w:cs="Arial"/>
              </w:rPr>
              <w:t>gastroduodenalis</w:t>
            </w:r>
            <w:proofErr w:type="spellEnd"/>
            <w:r w:rsidRPr="008D716B">
              <w:rPr>
                <w:rFonts w:ascii="TheSansOffice" w:hAnsi="TheSansOffice" w:cs="Arial"/>
              </w:rPr>
              <w:t xml:space="preserve"> toxische Mengen anreiche</w:t>
            </w:r>
            <w:r w:rsidR="00443FDF">
              <w:rPr>
                <w:rFonts w:ascii="TheSansOffice" w:hAnsi="TheSansOffice" w:cs="Arial"/>
              </w:rPr>
              <w:t>r</w:t>
            </w:r>
            <w:r w:rsidRPr="008D716B">
              <w:rPr>
                <w:rFonts w:ascii="TheSansOffice" w:hAnsi="TheSansOffice" w:cs="Arial"/>
              </w:rPr>
              <w:t>n und Ulzerationen bzw. Entzündungen verursachen [</w:t>
            </w:r>
            <w:r>
              <w:rPr>
                <w:rFonts w:ascii="TheSansOffice" w:hAnsi="TheSansOffice" w:cs="Arial"/>
              </w:rPr>
              <w:t>5</w:t>
            </w:r>
            <w:r w:rsidRPr="008D716B">
              <w:rPr>
                <w:rFonts w:ascii="TheSansOffice" w:hAnsi="TheSansOffice" w:cs="Arial"/>
              </w:rPr>
              <w:t xml:space="preserve">]. Im Einzelfall ist somit nicht nur das standardmäßige </w:t>
            </w:r>
            <w:proofErr w:type="spellStart"/>
            <w:r w:rsidRPr="008D716B">
              <w:rPr>
                <w:rFonts w:ascii="TheSansOffice" w:hAnsi="TheSansOffice" w:cs="Arial"/>
              </w:rPr>
              <w:t>Coiling</w:t>
            </w:r>
            <w:proofErr w:type="spellEnd"/>
            <w:r w:rsidRPr="008D716B">
              <w:rPr>
                <w:rFonts w:ascii="TheSansOffice" w:hAnsi="TheSansOffice" w:cs="Arial"/>
              </w:rPr>
              <w:t xml:space="preserve"> der </w:t>
            </w:r>
            <w:proofErr w:type="spellStart"/>
            <w:r w:rsidRPr="008D716B">
              <w:rPr>
                <w:rFonts w:ascii="TheSansOffice" w:hAnsi="TheSansOffice" w:cs="Arial"/>
              </w:rPr>
              <w:t>Arteria</w:t>
            </w:r>
            <w:proofErr w:type="spellEnd"/>
            <w:r w:rsidRPr="008D716B">
              <w:rPr>
                <w:rFonts w:ascii="TheSansOffice" w:hAnsi="TheSansOffice" w:cs="Arial"/>
              </w:rPr>
              <w:t xml:space="preserve"> </w:t>
            </w:r>
            <w:proofErr w:type="spellStart"/>
            <w:r w:rsidRPr="008D716B">
              <w:rPr>
                <w:rFonts w:ascii="TheSansOffice" w:hAnsi="TheSansOffice" w:cs="Arial"/>
              </w:rPr>
              <w:t>gastroduodenalis</w:t>
            </w:r>
            <w:proofErr w:type="spellEnd"/>
            <w:r w:rsidRPr="008D716B">
              <w:rPr>
                <w:rFonts w:ascii="TheSansOffice" w:hAnsi="TheSansOffice" w:cs="Arial"/>
              </w:rPr>
              <w:t xml:space="preserve">, sondern auch weiterer </w:t>
            </w:r>
            <w:proofErr w:type="spellStart"/>
            <w:r w:rsidRPr="008D716B">
              <w:rPr>
                <w:rFonts w:ascii="TheSansOffice" w:hAnsi="TheSansOffice" w:cs="Arial"/>
              </w:rPr>
              <w:t>aberrierender</w:t>
            </w:r>
            <w:proofErr w:type="spellEnd"/>
            <w:r w:rsidRPr="008D716B">
              <w:rPr>
                <w:rFonts w:ascii="TheSansOffice" w:hAnsi="TheSansOffice" w:cs="Arial"/>
              </w:rPr>
              <w:t xml:space="preserve"> Gefäße indiziert.</w:t>
            </w:r>
          </w:p>
          <w:p w14:paraId="11B0F542" w14:textId="77777777" w:rsidR="00DE66B0" w:rsidRDefault="00DE66B0" w:rsidP="00FA72A8">
            <w:pPr>
              <w:rPr>
                <w:rFonts w:ascii="TheSansOffice" w:hAnsi="TheSansOffice" w:cs="Arial"/>
              </w:rPr>
            </w:pPr>
          </w:p>
          <w:p w14:paraId="4CBDA783" w14:textId="1C1840D2" w:rsidR="00DE66B0" w:rsidRDefault="00DE66B0" w:rsidP="00FA72A8">
            <w:pPr>
              <w:rPr>
                <w:rFonts w:ascii="TheSansOffice" w:hAnsi="TheSansOffice" w:cs="Arial"/>
              </w:rPr>
            </w:pPr>
            <w:r w:rsidRPr="00DE66B0">
              <w:rPr>
                <w:rFonts w:ascii="TheSansOffice" w:hAnsi="TheSansOffice" w:cs="Arial"/>
              </w:rPr>
              <w:t xml:space="preserve">Während das Überschreiten des </w:t>
            </w:r>
            <w:proofErr w:type="spellStart"/>
            <w:r w:rsidRPr="00DE66B0">
              <w:rPr>
                <w:rFonts w:ascii="TheSansOffice" w:hAnsi="TheSansOffice" w:cs="Arial"/>
              </w:rPr>
              <w:t>hepatopulmonalen</w:t>
            </w:r>
            <w:proofErr w:type="spellEnd"/>
            <w:r w:rsidRPr="00DE66B0">
              <w:rPr>
                <w:rFonts w:ascii="TheSansOffice" w:hAnsi="TheSansOffice" w:cs="Arial"/>
              </w:rPr>
              <w:t xml:space="preserve"> </w:t>
            </w:r>
            <w:proofErr w:type="spellStart"/>
            <w:r w:rsidRPr="00DE66B0">
              <w:rPr>
                <w:rFonts w:ascii="TheSansOffice" w:hAnsi="TheSansOffice" w:cs="Arial"/>
              </w:rPr>
              <w:t>Shuntvolumens</w:t>
            </w:r>
            <w:proofErr w:type="spellEnd"/>
            <w:r w:rsidRPr="00DE66B0">
              <w:rPr>
                <w:rFonts w:ascii="TheSansOffice" w:hAnsi="TheSansOffice" w:cs="Arial"/>
              </w:rPr>
              <w:t xml:space="preserve"> als absolute Kontraindikation den Abbruch der geplanten Behandlung nach sich zieht, kann durch patientengerechtes </w:t>
            </w:r>
            <w:proofErr w:type="spellStart"/>
            <w:r w:rsidRPr="00DE66B0">
              <w:rPr>
                <w:rFonts w:ascii="TheSansOffice" w:hAnsi="TheSansOffice" w:cs="Arial"/>
              </w:rPr>
              <w:t>Coiling</w:t>
            </w:r>
            <w:proofErr w:type="spellEnd"/>
            <w:r w:rsidRPr="00DE66B0">
              <w:rPr>
                <w:rFonts w:ascii="TheSansOffice" w:hAnsi="TheSansOffice" w:cs="Arial"/>
              </w:rPr>
              <w:t xml:space="preserve"> von Gefäßen eine extrahepatische Ablagerung vermieden und eine suffiziente Behandlungssituation hergestellt werden.</w:t>
            </w:r>
          </w:p>
          <w:p w14:paraId="41493433" w14:textId="77777777" w:rsidR="00DE66B0" w:rsidRDefault="00DE66B0" w:rsidP="00FA72A8">
            <w:pPr>
              <w:rPr>
                <w:rFonts w:ascii="TheSansOffice" w:hAnsi="TheSansOffice" w:cs="Arial"/>
              </w:rPr>
            </w:pPr>
          </w:p>
          <w:p w14:paraId="3064625E" w14:textId="3416AA8C" w:rsidR="00DE66B0" w:rsidRDefault="00DE66B0" w:rsidP="00FA72A8">
            <w:pPr>
              <w:rPr>
                <w:rFonts w:ascii="TheSansOffice" w:hAnsi="TheSansOffice" w:cs="Arial"/>
              </w:rPr>
            </w:pPr>
            <w:r>
              <w:rPr>
                <w:rFonts w:ascii="TheSansOffice" w:hAnsi="TheSansOffice" w:cs="Arial"/>
              </w:rPr>
              <w:t xml:space="preserve">Vergleich SIRT </w:t>
            </w:r>
            <w:r w:rsidR="00C81B84">
              <w:rPr>
                <w:rFonts w:ascii="TheSansOffice" w:hAnsi="TheSansOffice" w:cs="Arial"/>
              </w:rPr>
              <w:t xml:space="preserve">mit Holmium-166 und SIRT </w:t>
            </w:r>
            <w:r>
              <w:rPr>
                <w:rFonts w:ascii="TheSansOffice" w:hAnsi="TheSansOffice" w:cs="Arial"/>
              </w:rPr>
              <w:t>mit Yttrium-90:</w:t>
            </w:r>
          </w:p>
          <w:p w14:paraId="28E8F001" w14:textId="6A0FDED2" w:rsidR="00FA72A8" w:rsidRDefault="00D62675" w:rsidP="00FA72A8">
            <w:pPr>
              <w:rPr>
                <w:rFonts w:ascii="TheSansOffice" w:hAnsi="TheSansOffice" w:cs="Arial"/>
              </w:rPr>
            </w:pPr>
            <w:r>
              <w:rPr>
                <w:rFonts w:ascii="TheSansOffice" w:hAnsi="TheSansOffice" w:cs="Arial"/>
              </w:rPr>
              <w:lastRenderedPageBreak/>
              <w:t xml:space="preserve">- </w:t>
            </w:r>
            <w:r w:rsidR="00FA72A8" w:rsidRPr="00FA72A8">
              <w:rPr>
                <w:rFonts w:ascii="TheSansOffice" w:hAnsi="TheSansOffice" w:cs="Arial"/>
              </w:rPr>
              <w:t>Holmium-166 Mikrosphären sind ebenso wie mit Yttrium-90 beladene Mikrosphären biokompatibel, haben einen Durchmesser von zwischen 20 und 60</w:t>
            </w:r>
            <w:r w:rsidR="00E115B0">
              <w:rPr>
                <w:rFonts w:ascii="TheSansOffice" w:hAnsi="TheSansOffice" w:cs="Arial"/>
              </w:rPr>
              <w:t xml:space="preserve"> µm</w:t>
            </w:r>
            <w:r w:rsidR="00FA72A8" w:rsidRPr="00FA72A8">
              <w:rPr>
                <w:rFonts w:ascii="TheSansOffice" w:hAnsi="TheSansOffice" w:cs="Arial"/>
              </w:rPr>
              <w:t xml:space="preserve"> und emittieren energiereiche Strahlung, die zur Zerstörung des Tumors führt. </w:t>
            </w:r>
          </w:p>
          <w:p w14:paraId="00FAD6AB" w14:textId="10B2449B" w:rsidR="00817E90" w:rsidRDefault="00817E90" w:rsidP="00FA72A8">
            <w:pPr>
              <w:rPr>
                <w:rFonts w:ascii="TheSansOffice" w:hAnsi="TheSansOffice" w:cs="Arial"/>
              </w:rPr>
            </w:pPr>
            <w:r>
              <w:rPr>
                <w:rFonts w:ascii="TheSansOffice" w:hAnsi="TheSansOffice" w:cs="Arial"/>
              </w:rPr>
              <w:t xml:space="preserve">- </w:t>
            </w:r>
            <w:r w:rsidRPr="00542513">
              <w:rPr>
                <w:rFonts w:ascii="TheSansOffice" w:hAnsi="TheSansOffice" w:cs="Arial"/>
              </w:rPr>
              <w:t>Die kürzere Halbwertszeit in Vergleich zu Yttrium-90 bewirkt eine deut</w:t>
            </w:r>
            <w:r w:rsidR="00E14537">
              <w:rPr>
                <w:rFonts w:ascii="TheSansOffice" w:hAnsi="TheSansOffice" w:cs="Arial"/>
              </w:rPr>
              <w:t>lich höhere Strahlendosis</w:t>
            </w:r>
            <w:r w:rsidRPr="00542513">
              <w:rPr>
                <w:rFonts w:ascii="TheSansOffice" w:hAnsi="TheSansOffice" w:cs="Arial"/>
              </w:rPr>
              <w:t xml:space="preserve"> bei gleicher Mengendosis des Nuklids sowie bei unverändertem Nebenwirkungs- und Risikoprofil</w:t>
            </w:r>
            <w:r w:rsidR="00983196">
              <w:rPr>
                <w:rFonts w:ascii="TheSansOffice" w:hAnsi="TheSansOffice" w:cs="Arial"/>
              </w:rPr>
              <w:t>.</w:t>
            </w:r>
          </w:p>
          <w:p w14:paraId="0B4C2890" w14:textId="090AF1EF" w:rsidR="00FA72A8" w:rsidRDefault="00FA72A8" w:rsidP="00FA72A8">
            <w:pPr>
              <w:rPr>
                <w:rFonts w:ascii="TheSansOffice" w:hAnsi="TheSansOffice" w:cs="Arial"/>
              </w:rPr>
            </w:pPr>
            <w:r w:rsidRPr="00FA72A8">
              <w:rPr>
                <w:rFonts w:ascii="TheSansOffice" w:hAnsi="TheSansOffice" w:cs="Arial"/>
              </w:rPr>
              <w:t>-</w:t>
            </w:r>
            <w:r>
              <w:rPr>
                <w:rFonts w:ascii="TheSansOffice" w:hAnsi="TheSansOffice" w:cs="Arial"/>
              </w:rPr>
              <w:t xml:space="preserve"> </w:t>
            </w:r>
            <w:r w:rsidR="0063204C">
              <w:rPr>
                <w:rFonts w:ascii="TheSansOffice" w:hAnsi="TheSansOffice" w:cs="Arial"/>
              </w:rPr>
              <w:t xml:space="preserve">Die besonderen Eigenschaften von </w:t>
            </w:r>
            <w:r w:rsidR="0063204C" w:rsidRPr="00FA72A8">
              <w:rPr>
                <w:rFonts w:ascii="TheSansOffice" w:hAnsi="TheSansOffice" w:cs="Arial"/>
              </w:rPr>
              <w:t xml:space="preserve">Holmium-166 </w:t>
            </w:r>
            <w:r w:rsidR="0063204C">
              <w:rPr>
                <w:rFonts w:ascii="TheSansOffice" w:hAnsi="TheSansOffice" w:cs="Arial"/>
              </w:rPr>
              <w:t xml:space="preserve">(Paramagnetismus und Gammastrahlung </w:t>
            </w:r>
            <w:r w:rsidR="0063204C" w:rsidRPr="00FA72A8">
              <w:rPr>
                <w:rFonts w:ascii="TheSansOffice" w:hAnsi="TheSansOffice" w:cs="Arial"/>
              </w:rPr>
              <w:t>[1]</w:t>
            </w:r>
            <w:r w:rsidR="0063204C">
              <w:rPr>
                <w:rFonts w:ascii="TheSansOffice" w:hAnsi="TheSansOffice" w:cs="Arial"/>
              </w:rPr>
              <w:t>) ermöglichen</w:t>
            </w:r>
            <w:r w:rsidR="00C81B84">
              <w:rPr>
                <w:rFonts w:ascii="TheSansOffice" w:hAnsi="TheSansOffice" w:cs="Arial"/>
              </w:rPr>
              <w:t xml:space="preserve"> </w:t>
            </w:r>
            <w:r w:rsidR="00542513" w:rsidRPr="00542513">
              <w:rPr>
                <w:rFonts w:ascii="TheSansOffice" w:hAnsi="TheSansOffice" w:cs="Arial"/>
              </w:rPr>
              <w:t>Verbesserungen bei Planung, Durchführung und Ergebnisauswertung der nuklearmedizinischen Bestrahlung</w:t>
            </w:r>
            <w:r w:rsidR="00983196">
              <w:rPr>
                <w:rFonts w:ascii="TheSansOffice" w:hAnsi="TheSansOffice" w:cs="Arial"/>
              </w:rPr>
              <w:t>.</w:t>
            </w:r>
          </w:p>
          <w:p w14:paraId="2DBA9FB9" w14:textId="03F00431" w:rsidR="00817E90" w:rsidRDefault="00817E90" w:rsidP="00FA72A8">
            <w:pPr>
              <w:rPr>
                <w:rFonts w:ascii="TheSansOffice" w:hAnsi="TheSansOffice" w:cs="Arial"/>
              </w:rPr>
            </w:pPr>
            <w:r>
              <w:rPr>
                <w:rFonts w:ascii="TheSansOffice" w:hAnsi="TheSansOffice" w:cs="Arial"/>
              </w:rPr>
              <w:t xml:space="preserve">- </w:t>
            </w:r>
            <w:r w:rsidRPr="00FA72A8">
              <w:rPr>
                <w:rFonts w:ascii="TheSansOffice" w:hAnsi="TheSansOffice" w:cs="Arial"/>
              </w:rPr>
              <w:t>Die quantitative Auswertung der Holmium-166 Anlagerungen</w:t>
            </w:r>
            <w:r>
              <w:rPr>
                <w:rFonts w:ascii="TheSansOffice" w:hAnsi="TheSansOffice" w:cs="Arial"/>
              </w:rPr>
              <w:t xml:space="preserve"> an Tumor</w:t>
            </w:r>
            <w:r w:rsidR="00983196">
              <w:rPr>
                <w:rFonts w:ascii="TheSansOffice" w:hAnsi="TheSansOffice" w:cs="Arial"/>
              </w:rPr>
              <w:t>gewebe</w:t>
            </w:r>
            <w:r>
              <w:rPr>
                <w:rFonts w:ascii="TheSansOffice" w:hAnsi="TheSansOffice" w:cs="Arial"/>
              </w:rPr>
              <w:t xml:space="preserve"> und gesundem Leberge</w:t>
            </w:r>
            <w:r w:rsidRPr="00FA72A8">
              <w:rPr>
                <w:rFonts w:ascii="TheSansOffice" w:hAnsi="TheSansOffice" w:cs="Arial"/>
              </w:rPr>
              <w:t>webe in SPECT und MRI ermöglichen eine Therapieverif</w:t>
            </w:r>
            <w:r>
              <w:rPr>
                <w:rFonts w:ascii="TheSansOffice" w:hAnsi="TheSansOffice" w:cs="Arial"/>
              </w:rPr>
              <w:t xml:space="preserve">ikation und Verlaufsbetrachtung, </w:t>
            </w:r>
            <w:r w:rsidRPr="008D716B">
              <w:rPr>
                <w:rFonts w:ascii="TheSansOffice" w:hAnsi="TheSansOffice" w:cs="Arial"/>
              </w:rPr>
              <w:t>während bei Yttrium eher eine „blinde“ Therapie erfolgen muss</w:t>
            </w:r>
            <w:r w:rsidR="00A202D7">
              <w:rPr>
                <w:rFonts w:ascii="TheSansOffice" w:hAnsi="TheSansOffice" w:cs="Arial"/>
              </w:rPr>
              <w:t>.</w:t>
            </w:r>
          </w:p>
          <w:p w14:paraId="0EB07720" w14:textId="1D66AB4F" w:rsidR="00817E90" w:rsidRDefault="00817E90" w:rsidP="00FA72A8">
            <w:pPr>
              <w:rPr>
                <w:rFonts w:ascii="TheSansOffice" w:hAnsi="TheSansOffice" w:cs="Arial"/>
              </w:rPr>
            </w:pPr>
            <w:r>
              <w:rPr>
                <w:rFonts w:ascii="TheSansOffice" w:hAnsi="TheSansOffice" w:cs="Arial"/>
              </w:rPr>
              <w:t xml:space="preserve">- </w:t>
            </w:r>
            <w:r w:rsidRPr="00FA72A8">
              <w:rPr>
                <w:rFonts w:ascii="TheSansOffice" w:hAnsi="TheSansOffice" w:cs="Arial"/>
              </w:rPr>
              <w:t>In ersten klinischen Untersuchungen konnte während der Intervention die Verteilung der Holmium-166 Mikrosphären in real time verfolgt werden</w:t>
            </w:r>
            <w:r>
              <w:rPr>
                <w:rFonts w:ascii="TheSansOffice" w:hAnsi="TheSansOffice" w:cs="Arial"/>
              </w:rPr>
              <w:t>, was künftig</w:t>
            </w:r>
            <w:r w:rsidRPr="00FA72A8">
              <w:rPr>
                <w:rFonts w:ascii="TheSansOffice" w:hAnsi="TheSansOffice" w:cs="Arial"/>
              </w:rPr>
              <w:t xml:space="preserve"> eine individualisierte Anpassung während der Holmium-166 Mikrosphärengabe </w:t>
            </w:r>
            <w:r>
              <w:rPr>
                <w:rFonts w:ascii="TheSansOffice" w:hAnsi="TheSansOffice" w:cs="Arial"/>
              </w:rPr>
              <w:t>er</w:t>
            </w:r>
            <w:r w:rsidRPr="00FA72A8">
              <w:rPr>
                <w:rFonts w:ascii="TheSansOffice" w:hAnsi="TheSansOffice" w:cs="Arial"/>
              </w:rPr>
              <w:t>möglich</w:t>
            </w:r>
            <w:r>
              <w:rPr>
                <w:rFonts w:ascii="TheSansOffice" w:hAnsi="TheSansOffice" w:cs="Arial"/>
              </w:rPr>
              <w:t>en könnte</w:t>
            </w:r>
            <w:r w:rsidRPr="00FA72A8">
              <w:rPr>
                <w:rFonts w:ascii="TheSansOffice" w:hAnsi="TheSansOffice" w:cs="Arial"/>
              </w:rPr>
              <w:t xml:space="preserve"> [3]</w:t>
            </w:r>
            <w:r w:rsidR="00A202D7">
              <w:rPr>
                <w:rFonts w:ascii="TheSansOffice" w:hAnsi="TheSansOffice" w:cs="Arial"/>
              </w:rPr>
              <w:t>.</w:t>
            </w:r>
          </w:p>
          <w:p w14:paraId="457DCD28" w14:textId="06C6B4DE" w:rsidR="00013C21" w:rsidRPr="00FA72A8" w:rsidRDefault="00817E90" w:rsidP="00FA72A8">
            <w:pPr>
              <w:rPr>
                <w:rFonts w:ascii="TheSansOffice" w:hAnsi="TheSansOffice" w:cs="Arial"/>
              </w:rPr>
            </w:pPr>
            <w:r>
              <w:rPr>
                <w:rFonts w:ascii="TheSansOffice" w:hAnsi="TheSansOffice" w:cs="Arial"/>
              </w:rPr>
              <w:t xml:space="preserve">- Die Vorteile, die sich aus dem kombinierten Einsatz von </w:t>
            </w:r>
            <w:r w:rsidR="00013C21">
              <w:rPr>
                <w:rFonts w:ascii="TheSansOffice" w:hAnsi="TheSansOffice" w:cs="Arial"/>
              </w:rPr>
              <w:t>SIRT mit Holmium</w:t>
            </w:r>
            <w:r>
              <w:rPr>
                <w:rFonts w:ascii="TheSansOffice" w:hAnsi="TheSansOffice" w:cs="Arial"/>
              </w:rPr>
              <w:t>-166</w:t>
            </w:r>
            <w:r w:rsidR="00013C21">
              <w:rPr>
                <w:rFonts w:ascii="TheSansOffice" w:hAnsi="TheSansOffice" w:cs="Arial"/>
              </w:rPr>
              <w:t xml:space="preserve"> </w:t>
            </w:r>
            <w:r>
              <w:rPr>
                <w:rFonts w:ascii="TheSansOffice" w:hAnsi="TheSansOffice" w:cs="Arial"/>
              </w:rPr>
              <w:t>und der</w:t>
            </w:r>
            <w:r w:rsidR="00013C21">
              <w:rPr>
                <w:rFonts w:ascii="TheSansOffice" w:hAnsi="TheSansOffice" w:cs="Arial"/>
              </w:rPr>
              <w:t xml:space="preserve"> Scout Dose auf Basis von Holmium-166 </w:t>
            </w:r>
            <w:r>
              <w:rPr>
                <w:rFonts w:ascii="TheSansOffice" w:hAnsi="TheSansOffice" w:cs="Arial"/>
              </w:rPr>
              <w:t xml:space="preserve">ergeben, </w:t>
            </w:r>
            <w:r w:rsidR="00013C21">
              <w:rPr>
                <w:rFonts w:ascii="TheSansOffice" w:hAnsi="TheSansOffice" w:cs="Arial"/>
              </w:rPr>
              <w:t>wurden bereits beschrieben</w:t>
            </w:r>
            <w:r w:rsidR="00A202D7">
              <w:rPr>
                <w:rFonts w:ascii="TheSansOffice" w:hAnsi="TheSansOffice" w:cs="Arial"/>
              </w:rPr>
              <w:t>.</w:t>
            </w:r>
          </w:p>
          <w:p w14:paraId="1571B285" w14:textId="7F0FC6ED" w:rsidR="008D716B" w:rsidRDefault="008D716B" w:rsidP="00FA72A8">
            <w:pPr>
              <w:rPr>
                <w:rFonts w:ascii="TheSansOffice" w:hAnsi="TheSansOffice" w:cs="Arial"/>
              </w:rPr>
            </w:pPr>
            <w:r>
              <w:rPr>
                <w:rFonts w:ascii="TheSansOffice" w:hAnsi="TheSansOffice" w:cs="Arial"/>
              </w:rPr>
              <w:t xml:space="preserve">- </w:t>
            </w:r>
            <w:r w:rsidRPr="008D716B">
              <w:rPr>
                <w:rFonts w:ascii="TheSansOffice" w:hAnsi="TheSansOffice" w:cs="Arial"/>
              </w:rPr>
              <w:t>Zu den technischen sowie behandlungsbezogenen Vorteilen muss hier gesagt werden, dass medizinisch in Bezug auf Lebensqualität, Nebenwirkungen oder Krankheitsprogression die gleichen Daten gelten wie für Yttrium</w:t>
            </w:r>
            <w:r w:rsidR="00A202D7">
              <w:rPr>
                <w:rFonts w:ascii="TheSansOffice" w:hAnsi="TheSansOffice" w:cs="Arial"/>
              </w:rPr>
              <w:t>.</w:t>
            </w:r>
            <w:r w:rsidR="00CF5EC3">
              <w:rPr>
                <w:rFonts w:ascii="TheSansOffice" w:hAnsi="TheSansOffice" w:cs="Arial"/>
              </w:rPr>
              <w:t xml:space="preserve"> </w:t>
            </w:r>
            <w:r w:rsidR="00E115B0">
              <w:rPr>
                <w:rFonts w:ascii="TheSansOffice" w:hAnsi="TheSansOffice" w:cs="Arial"/>
              </w:rPr>
              <w:t>Allerdings</w:t>
            </w:r>
            <w:r w:rsidR="00CF5EC3">
              <w:rPr>
                <w:rFonts w:ascii="TheSansOffice" w:hAnsi="TheSansOffice" w:cs="Arial"/>
              </w:rPr>
              <w:t xml:space="preserve"> konnte eine Organschädigung benachbarter gesunder Organe durch die im Rahmen eines pathologischen Shunts übergetretenen radioaktiven Teilchen ausgeschlossen werden [7]</w:t>
            </w:r>
            <w:r w:rsidR="00A202D7">
              <w:rPr>
                <w:rFonts w:ascii="TheSansOffice" w:hAnsi="TheSansOffice" w:cs="Arial"/>
              </w:rPr>
              <w:t>.</w:t>
            </w:r>
          </w:p>
          <w:p w14:paraId="03B5029D" w14:textId="0B04485B" w:rsidR="00CF5EC3" w:rsidRDefault="00CF5EC3" w:rsidP="00FA72A8">
            <w:pPr>
              <w:rPr>
                <w:rFonts w:ascii="TheSansOffice" w:hAnsi="TheSansOffice" w:cs="Arial"/>
              </w:rPr>
            </w:pPr>
          </w:p>
          <w:p w14:paraId="4942AB0C" w14:textId="7677ACC1" w:rsidR="00473BD4" w:rsidRPr="00FA72A8" w:rsidRDefault="00473BD4" w:rsidP="00FA72A8">
            <w:pPr>
              <w:rPr>
                <w:rFonts w:ascii="TheSansOffice" w:hAnsi="TheSansOffice" w:cs="Arial"/>
              </w:rPr>
            </w:pPr>
            <w:r w:rsidRPr="00473BD4">
              <w:rPr>
                <w:rFonts w:ascii="TheSansOffice" w:hAnsi="TheSansOffice" w:cs="Arial"/>
              </w:rPr>
              <w:t xml:space="preserve">Als bisher einziger Anbieter radioaktivbeladener Sphären zur SIRT bietet </w:t>
            </w:r>
            <w:proofErr w:type="spellStart"/>
            <w:r w:rsidRPr="00473BD4">
              <w:rPr>
                <w:rFonts w:ascii="TheSansOffice" w:hAnsi="TheSansOffice" w:cs="Arial"/>
              </w:rPr>
              <w:t>Terumo</w:t>
            </w:r>
            <w:proofErr w:type="spellEnd"/>
            <w:r w:rsidRPr="00473BD4">
              <w:rPr>
                <w:rFonts w:ascii="TheSansOffice" w:hAnsi="TheSansOffice" w:cs="Arial"/>
              </w:rPr>
              <w:t xml:space="preserve"> ein Softwarepaket zur quantitativen Analyse der Hol</w:t>
            </w:r>
            <w:r w:rsidR="00053F47">
              <w:rPr>
                <w:rFonts w:ascii="TheSansOffice" w:hAnsi="TheSansOffice" w:cs="Arial"/>
              </w:rPr>
              <w:t>m</w:t>
            </w:r>
            <w:r w:rsidRPr="00473BD4">
              <w:rPr>
                <w:rFonts w:ascii="TheSansOffice" w:hAnsi="TheSansOffice" w:cs="Arial"/>
              </w:rPr>
              <w:t xml:space="preserve">ium-166 Verteilung an. Die Software ist seit 2017 CE-Mark zertifiziert. Die Version </w:t>
            </w:r>
            <w:r w:rsidR="000C653D">
              <w:rPr>
                <w:rFonts w:ascii="TheSansOffice" w:hAnsi="TheSansOffice" w:cs="Arial"/>
              </w:rPr>
              <w:t>seit</w:t>
            </w:r>
            <w:r w:rsidRPr="00473BD4">
              <w:rPr>
                <w:rFonts w:ascii="TheSansOffice" w:hAnsi="TheSansOffice" w:cs="Arial"/>
              </w:rPr>
              <w:t xml:space="preserve"> Frühjahr 2018 ermöglicht die Visualisierung der quantitativen Analyse in derselben Software.</w:t>
            </w:r>
          </w:p>
          <w:p w14:paraId="64E9DC81" w14:textId="77777777" w:rsidR="00FA72A8" w:rsidRDefault="00FA72A8" w:rsidP="00FA72A8">
            <w:pPr>
              <w:rPr>
                <w:rFonts w:ascii="TheSansOffice" w:hAnsi="TheSansOffice" w:cs="Arial"/>
                <w:color w:val="C0504D" w:themeColor="accent2"/>
              </w:rPr>
            </w:pPr>
          </w:p>
          <w:p w14:paraId="4846C094" w14:textId="2C3DF965" w:rsidR="000A544B" w:rsidRDefault="00AD26EF" w:rsidP="00AD26EF">
            <w:pPr>
              <w:rPr>
                <w:rFonts w:ascii="TheSansOffice" w:hAnsi="TheSansOffice" w:cs="Arial"/>
                <w:color w:val="C0504D" w:themeColor="accent2"/>
              </w:rPr>
            </w:pPr>
            <w:r w:rsidRPr="00AD26EF">
              <w:rPr>
                <w:rFonts w:ascii="TheSansOffice" w:hAnsi="TheSansOffice" w:cs="Arial"/>
              </w:rPr>
              <w:t xml:space="preserve">Für SIRT mit Holmium-166 liegen die Ergebnisse von derzeit 2 </w:t>
            </w:r>
            <w:r w:rsidR="009C2028">
              <w:rPr>
                <w:rFonts w:ascii="TheSansOffice" w:hAnsi="TheSansOffice" w:cs="Arial"/>
              </w:rPr>
              <w:t xml:space="preserve">abgeschlossenen </w:t>
            </w:r>
            <w:r w:rsidRPr="00AD26EF">
              <w:rPr>
                <w:rFonts w:ascii="TheSansOffice" w:hAnsi="TheSansOffice" w:cs="Arial"/>
              </w:rPr>
              <w:t>Studien vor</w:t>
            </w:r>
            <w:r>
              <w:rPr>
                <w:rFonts w:ascii="TheSansOffice" w:hAnsi="TheSansOffice" w:cs="Arial"/>
              </w:rPr>
              <w:t>:</w:t>
            </w:r>
          </w:p>
          <w:p w14:paraId="5D56C85A" w14:textId="77777777" w:rsidR="000A544B" w:rsidRDefault="000A544B" w:rsidP="000A544B">
            <w:pPr>
              <w:rPr>
                <w:rFonts w:ascii="TheSansOffice" w:hAnsi="TheSansOffice" w:cs="Arial"/>
                <w:color w:val="C0504D" w:themeColor="accent2"/>
              </w:rPr>
            </w:pPr>
          </w:p>
          <w:p w14:paraId="7B620DA0" w14:textId="451CD783" w:rsidR="00AD26EF" w:rsidRDefault="00AD26EF" w:rsidP="00AD26EF">
            <w:pPr>
              <w:rPr>
                <w:rFonts w:ascii="TheSansOffice" w:hAnsi="TheSansOffice" w:cs="Arial"/>
                <w:lang w:val="en-US"/>
              </w:rPr>
            </w:pPr>
            <w:r>
              <w:rPr>
                <w:rFonts w:ascii="TheSansOffice" w:hAnsi="TheSansOffice" w:cs="Arial"/>
                <w:lang w:val="en-US"/>
              </w:rPr>
              <w:t>R</w:t>
            </w:r>
            <w:r w:rsidRPr="00AD26EF">
              <w:rPr>
                <w:rFonts w:ascii="TheSansOffice" w:hAnsi="TheSansOffice" w:cs="Arial"/>
                <w:lang w:val="en-US"/>
              </w:rPr>
              <w:t xml:space="preserve">adioactive </w:t>
            </w:r>
            <w:r w:rsidRPr="00CD4EA1">
              <w:rPr>
                <w:rFonts w:ascii="TheSansOffice" w:hAnsi="TheSansOffice" w:cs="Arial"/>
                <w:lang w:val="en-US"/>
              </w:rPr>
              <w:t>Holmium Microspheres for the Treatment of Liver Metastases Phase 1 (HEPAR</w:t>
            </w:r>
            <w:r w:rsidR="00603E38" w:rsidRPr="00CD18D3">
              <w:rPr>
                <w:rFonts w:ascii="TheSansOffice" w:hAnsi="TheSansOffice" w:cs="Arial"/>
                <w:lang w:val="en-US"/>
              </w:rPr>
              <w:t>-1</w:t>
            </w:r>
            <w:r w:rsidRPr="00CD18D3">
              <w:rPr>
                <w:rFonts w:ascii="TheSansOffice" w:hAnsi="TheSansOffice" w:cs="Arial"/>
                <w:lang w:val="en-US"/>
              </w:rPr>
              <w:t>) (NCT01031784)</w:t>
            </w:r>
            <w:r w:rsidR="00CD4EA1" w:rsidRPr="00CD18D3">
              <w:rPr>
                <w:rFonts w:ascii="TheSansOffice" w:hAnsi="TheSansOffice" w:cs="Arial"/>
                <w:lang w:val="en-US"/>
              </w:rPr>
              <w:t xml:space="preserve"> [4]</w:t>
            </w:r>
          </w:p>
          <w:p w14:paraId="09DD57BA" w14:textId="451A57BD" w:rsidR="0089733F" w:rsidRPr="003603DF" w:rsidRDefault="0089733F" w:rsidP="00AD26EF">
            <w:pPr>
              <w:rPr>
                <w:rFonts w:ascii="TheSansOffice" w:hAnsi="TheSansOffice" w:cs="Arial"/>
              </w:rPr>
            </w:pPr>
            <w:r>
              <w:rPr>
                <w:rFonts w:ascii="TheSansOffice" w:hAnsi="TheSansOffice" w:cs="Arial"/>
              </w:rPr>
              <w:t xml:space="preserve">- </w:t>
            </w:r>
            <w:r w:rsidRPr="003603DF">
              <w:rPr>
                <w:rFonts w:ascii="TheSansOffice" w:hAnsi="TheSansOffice" w:cs="Arial"/>
              </w:rPr>
              <w:t xml:space="preserve">Diese Phase-I-Studie zeigte die </w:t>
            </w:r>
            <w:r>
              <w:rPr>
                <w:rFonts w:ascii="TheSansOffice" w:hAnsi="TheSansOffice" w:cs="Arial"/>
              </w:rPr>
              <w:t>Durchführbarkeit</w:t>
            </w:r>
            <w:r w:rsidRPr="003603DF">
              <w:rPr>
                <w:rFonts w:ascii="TheSansOffice" w:hAnsi="TheSansOffice" w:cs="Arial"/>
              </w:rPr>
              <w:t xml:space="preserve"> und Sicherheit von SIRT mit Holmium-</w:t>
            </w:r>
            <w:r>
              <w:rPr>
                <w:rFonts w:ascii="TheSansOffice" w:hAnsi="TheSansOffice" w:cs="Arial"/>
              </w:rPr>
              <w:t>166 Mikrosphären</w:t>
            </w:r>
            <w:r w:rsidRPr="003603DF">
              <w:rPr>
                <w:rFonts w:ascii="TheSansOffice" w:hAnsi="TheSansOffice" w:cs="Arial"/>
              </w:rPr>
              <w:t>.</w:t>
            </w:r>
          </w:p>
          <w:p w14:paraId="6770CB1C" w14:textId="4B0758C1" w:rsidR="00AD26EF" w:rsidRDefault="00AD26EF" w:rsidP="00AD26EF">
            <w:pPr>
              <w:rPr>
                <w:rFonts w:ascii="TheSansOffice" w:hAnsi="TheSansOffice" w:cs="Arial"/>
              </w:rPr>
            </w:pPr>
            <w:r w:rsidRPr="00AD26EF">
              <w:rPr>
                <w:rFonts w:ascii="TheSansOffice" w:hAnsi="TheSansOffice" w:cs="Arial"/>
              </w:rPr>
              <w:t>-</w:t>
            </w:r>
            <w:r>
              <w:rPr>
                <w:rFonts w:ascii="TheSansOffice" w:hAnsi="TheSansOffice" w:cs="Arial"/>
              </w:rPr>
              <w:t xml:space="preserve"> </w:t>
            </w:r>
            <w:r w:rsidRPr="00AD26EF">
              <w:rPr>
                <w:rFonts w:ascii="TheSansOffice" w:hAnsi="TheSansOffice" w:cs="Arial"/>
              </w:rPr>
              <w:t>Bei 12/15 Patienten</w:t>
            </w:r>
            <w:r>
              <w:rPr>
                <w:rFonts w:ascii="TheSansOffice" w:hAnsi="TheSansOffice" w:cs="Arial"/>
              </w:rPr>
              <w:t xml:space="preserve"> </w:t>
            </w:r>
            <w:r w:rsidRPr="00AD26EF">
              <w:rPr>
                <w:rFonts w:ascii="TheSansOffice" w:hAnsi="TheSansOffice" w:cs="Arial"/>
              </w:rPr>
              <w:t>mit Chemotherapie resistenten Lebermetastasen bei unterschiedlichsten Primärtumorlokalisationen stellten sich während der Behandlun</w:t>
            </w:r>
            <w:r>
              <w:rPr>
                <w:rFonts w:ascii="TheSansOffice" w:hAnsi="TheSansOffice" w:cs="Arial"/>
              </w:rPr>
              <w:t>g die „typischen“ Begleitsympto</w:t>
            </w:r>
            <w:r w:rsidRPr="00AD26EF">
              <w:rPr>
                <w:rFonts w:ascii="TheSansOffice" w:hAnsi="TheSansOffice" w:cs="Arial"/>
              </w:rPr>
              <w:t xml:space="preserve">me wie </w:t>
            </w:r>
            <w:proofErr w:type="spellStart"/>
            <w:r w:rsidRPr="00AD26EF">
              <w:rPr>
                <w:rFonts w:ascii="TheSansOffice" w:hAnsi="TheSansOffice" w:cs="Arial"/>
              </w:rPr>
              <w:t>Thrombozytopenie</w:t>
            </w:r>
            <w:proofErr w:type="spellEnd"/>
            <w:r w:rsidRPr="00AD26EF">
              <w:rPr>
                <w:rFonts w:ascii="TheSansOffice" w:hAnsi="TheSansOffice" w:cs="Arial"/>
              </w:rPr>
              <w:t xml:space="preserve">, </w:t>
            </w:r>
            <w:proofErr w:type="spellStart"/>
            <w:r w:rsidRPr="00AD26EF">
              <w:rPr>
                <w:rFonts w:ascii="TheSansOffice" w:hAnsi="TheSansOffice" w:cs="Arial"/>
              </w:rPr>
              <w:t>Leukozytopenie</w:t>
            </w:r>
            <w:proofErr w:type="spellEnd"/>
            <w:r w:rsidRPr="00AD26EF">
              <w:rPr>
                <w:rFonts w:ascii="TheSansOffice" w:hAnsi="TheSansOffice" w:cs="Arial"/>
              </w:rPr>
              <w:t xml:space="preserve"> und </w:t>
            </w:r>
            <w:proofErr w:type="spellStart"/>
            <w:r w:rsidRPr="00AD26EF">
              <w:rPr>
                <w:rFonts w:ascii="TheSansOffice" w:hAnsi="TheSansOffice" w:cs="Arial"/>
              </w:rPr>
              <w:t>Hypoalbuminämie</w:t>
            </w:r>
            <w:proofErr w:type="spellEnd"/>
            <w:r w:rsidRPr="00AD26EF">
              <w:rPr>
                <w:rFonts w:ascii="TheSansOffice" w:hAnsi="TheSansOffice" w:cs="Arial"/>
              </w:rPr>
              <w:t xml:space="preserve"> dar.</w:t>
            </w:r>
          </w:p>
          <w:p w14:paraId="3903F4D6" w14:textId="02A3F0F6" w:rsidR="00AD26EF" w:rsidRDefault="00AD26EF" w:rsidP="00AD26EF">
            <w:pPr>
              <w:rPr>
                <w:rFonts w:ascii="TheSansOffice" w:hAnsi="TheSansOffice" w:cs="Arial"/>
              </w:rPr>
            </w:pPr>
            <w:r>
              <w:rPr>
                <w:rFonts w:ascii="TheSansOffice" w:hAnsi="TheSansOffice" w:cs="Arial"/>
              </w:rPr>
              <w:t xml:space="preserve">- </w:t>
            </w:r>
            <w:r w:rsidRPr="00AD26EF">
              <w:rPr>
                <w:rFonts w:ascii="TheSansOffice" w:hAnsi="TheSansOffice" w:cs="Arial"/>
              </w:rPr>
              <w:t xml:space="preserve">Die progressionsfreie Überlebensrate lag bei 6,7 Monaten. </w:t>
            </w:r>
          </w:p>
          <w:p w14:paraId="1F29B535" w14:textId="77777777" w:rsidR="00AD26EF" w:rsidRDefault="00AD26EF" w:rsidP="00AD26EF">
            <w:pPr>
              <w:rPr>
                <w:rFonts w:ascii="TheSansOffice" w:hAnsi="TheSansOffice" w:cs="Arial"/>
              </w:rPr>
            </w:pPr>
          </w:p>
          <w:p w14:paraId="1E197B9C" w14:textId="29EA4F4F" w:rsidR="00AD26EF" w:rsidRDefault="00AD26EF" w:rsidP="00AD26EF">
            <w:pPr>
              <w:rPr>
                <w:rFonts w:ascii="TheSansOffice" w:hAnsi="TheSansOffice" w:cs="Arial"/>
                <w:lang w:val="en-US"/>
              </w:rPr>
            </w:pPr>
            <w:r w:rsidRPr="00AD26EF">
              <w:rPr>
                <w:rFonts w:ascii="TheSansOffice" w:hAnsi="TheSansOffice" w:cs="Arial"/>
                <w:lang w:val="en-US"/>
              </w:rPr>
              <w:lastRenderedPageBreak/>
              <w:t xml:space="preserve">Radioactive Holmium Microspheres for the Treatment of </w:t>
            </w:r>
            <w:proofErr w:type="spellStart"/>
            <w:r w:rsidRPr="00AD26EF">
              <w:rPr>
                <w:rFonts w:ascii="TheSansOffice" w:hAnsi="TheSansOffice" w:cs="Arial"/>
                <w:lang w:val="en-US"/>
              </w:rPr>
              <w:t>Unresectable</w:t>
            </w:r>
            <w:proofErr w:type="spellEnd"/>
            <w:r w:rsidRPr="00AD26EF">
              <w:rPr>
                <w:rFonts w:ascii="TheSansOffice" w:hAnsi="TheSansOffice" w:cs="Arial"/>
                <w:lang w:val="en-US"/>
              </w:rPr>
              <w:t xml:space="preserve"> Liver Metastases (HEPAR-2) (NCT01612325)</w:t>
            </w:r>
          </w:p>
          <w:p w14:paraId="12787198" w14:textId="76528744" w:rsidR="0089733F" w:rsidRPr="003603DF" w:rsidRDefault="0089733F" w:rsidP="00AD26EF">
            <w:pPr>
              <w:rPr>
                <w:rFonts w:ascii="TheSansOffice" w:hAnsi="TheSansOffice" w:cs="Arial"/>
              </w:rPr>
            </w:pPr>
            <w:r w:rsidRPr="003603DF">
              <w:rPr>
                <w:rFonts w:ascii="TheSansOffice" w:hAnsi="TheSansOffice" w:cs="Arial"/>
              </w:rPr>
              <w:t>- Diese Phase-II-Studie zeigte die Wirksamkeit dieser Behandlungsmethode.</w:t>
            </w:r>
          </w:p>
          <w:p w14:paraId="7D4CFBE0" w14:textId="1B4F609F" w:rsidR="00AD26EF" w:rsidRDefault="00AD26EF" w:rsidP="00AD26EF">
            <w:pPr>
              <w:rPr>
                <w:rFonts w:ascii="TheSansOffice" w:hAnsi="TheSansOffice" w:cs="Arial"/>
              </w:rPr>
            </w:pPr>
            <w:r w:rsidRPr="00AD26EF">
              <w:rPr>
                <w:rFonts w:ascii="TheSansOffice" w:hAnsi="TheSansOffice" w:cs="Arial"/>
              </w:rPr>
              <w:t>- Die mittlere Überlebenszeit betrug 14</w:t>
            </w:r>
            <w:r w:rsidR="00A202D7">
              <w:rPr>
                <w:rFonts w:ascii="TheSansOffice" w:hAnsi="TheSansOffice" w:cs="Arial"/>
              </w:rPr>
              <w:t>,</w:t>
            </w:r>
            <w:r w:rsidRPr="00AD26EF">
              <w:rPr>
                <w:rFonts w:ascii="TheSansOffice" w:hAnsi="TheSansOffice" w:cs="Arial"/>
              </w:rPr>
              <w:t>5 Monaten.</w:t>
            </w:r>
          </w:p>
          <w:p w14:paraId="06F7B349" w14:textId="665FCF01" w:rsidR="00AD26EF" w:rsidRPr="00AD26EF" w:rsidRDefault="00AD26EF" w:rsidP="00AD26EF">
            <w:pPr>
              <w:rPr>
                <w:rFonts w:ascii="TheSansOffice" w:hAnsi="TheSansOffice" w:cs="Arial"/>
              </w:rPr>
            </w:pPr>
            <w:r>
              <w:rPr>
                <w:rFonts w:ascii="TheSansOffice" w:hAnsi="TheSansOffice" w:cs="Arial"/>
              </w:rPr>
              <w:t xml:space="preserve">- </w:t>
            </w:r>
            <w:r w:rsidRPr="00AD26EF">
              <w:rPr>
                <w:rFonts w:ascii="TheSansOffice" w:hAnsi="TheSansOffice" w:cs="Arial"/>
              </w:rPr>
              <w:t>In 73% aller Fälle zeigte das Zielgebiet 3 Monate nach der Behandlung eine Kontrolle der Krankheit.</w:t>
            </w:r>
          </w:p>
          <w:p w14:paraId="67A5A0CE" w14:textId="6E30FC62" w:rsidR="00AD26EF" w:rsidRPr="00AD26EF" w:rsidRDefault="00AD26EF" w:rsidP="00AD26EF">
            <w:pPr>
              <w:rPr>
                <w:rFonts w:ascii="TheSansOffice" w:hAnsi="TheSansOffice" w:cs="Arial"/>
              </w:rPr>
            </w:pPr>
            <w:r>
              <w:rPr>
                <w:rFonts w:ascii="TheSansOffice" w:hAnsi="TheSansOffice" w:cs="Arial"/>
              </w:rPr>
              <w:t xml:space="preserve">- </w:t>
            </w:r>
            <w:r w:rsidRPr="00AD26EF">
              <w:rPr>
                <w:rFonts w:ascii="TheSansOffice" w:hAnsi="TheSansOffice" w:cs="Arial"/>
              </w:rPr>
              <w:t xml:space="preserve">Die meisten </w:t>
            </w:r>
            <w:r w:rsidR="00603E38">
              <w:rPr>
                <w:rFonts w:ascii="TheSansOffice" w:hAnsi="TheSansOffice" w:cs="Arial"/>
              </w:rPr>
              <w:t>unerwünschten Ereignisse</w:t>
            </w:r>
            <w:r w:rsidRPr="00AD26EF">
              <w:rPr>
                <w:rFonts w:ascii="TheSansOffice" w:hAnsi="TheSansOffice" w:cs="Arial"/>
              </w:rPr>
              <w:t xml:space="preserve"> waren vorübergehende abdominelle Schmerzen und Nausea (18% und 8%).</w:t>
            </w:r>
          </w:p>
          <w:p w14:paraId="1CF1477B" w14:textId="5C394B91" w:rsidR="00AD26EF" w:rsidRPr="00AD26EF" w:rsidRDefault="00AD26EF" w:rsidP="00AD26EF">
            <w:pPr>
              <w:rPr>
                <w:rFonts w:ascii="TheSansOffice" w:hAnsi="TheSansOffice" w:cs="Arial"/>
              </w:rPr>
            </w:pPr>
            <w:r>
              <w:rPr>
                <w:rFonts w:ascii="TheSansOffice" w:hAnsi="TheSansOffice" w:cs="Arial"/>
              </w:rPr>
              <w:t xml:space="preserve">- </w:t>
            </w:r>
            <w:r w:rsidRPr="00AD26EF">
              <w:rPr>
                <w:rFonts w:ascii="TheSansOffice" w:hAnsi="TheSansOffice" w:cs="Arial"/>
              </w:rPr>
              <w:t xml:space="preserve">Zu erwartende Nebenwirkungen wie </w:t>
            </w:r>
            <w:proofErr w:type="spellStart"/>
            <w:r w:rsidRPr="00AD26EF">
              <w:rPr>
                <w:rFonts w:ascii="TheSansOffice" w:hAnsi="TheSansOffice" w:cs="Arial"/>
              </w:rPr>
              <w:t>Abdominalschmerzen</w:t>
            </w:r>
            <w:proofErr w:type="spellEnd"/>
            <w:r w:rsidRPr="00AD26EF">
              <w:rPr>
                <w:rFonts w:ascii="TheSansOffice" w:hAnsi="TheSansOffice" w:cs="Arial"/>
              </w:rPr>
              <w:t xml:space="preserve"> und Nausea waren vorübergehend und kontrollierbar. Lediglich 3 schwere Ereignisse (Leberabszess, obere GI-Blutung, </w:t>
            </w:r>
            <w:proofErr w:type="spellStart"/>
            <w:r w:rsidRPr="00AD26EF">
              <w:rPr>
                <w:rFonts w:ascii="TheSansOffice" w:hAnsi="TheSansOffice" w:cs="Arial"/>
              </w:rPr>
              <w:t>radioembolisat</w:t>
            </w:r>
            <w:r>
              <w:rPr>
                <w:rFonts w:ascii="TheSansOffice" w:hAnsi="TheSansOffice" w:cs="Arial"/>
              </w:rPr>
              <w:t>ionsbedingte</w:t>
            </w:r>
            <w:proofErr w:type="spellEnd"/>
            <w:r>
              <w:rPr>
                <w:rFonts w:ascii="TheSansOffice" w:hAnsi="TheSansOffice" w:cs="Arial"/>
              </w:rPr>
              <w:t xml:space="preserve"> Lebererkrankung) [5,6</w:t>
            </w:r>
            <w:r w:rsidRPr="00AD26EF">
              <w:rPr>
                <w:rFonts w:ascii="TheSansOffice" w:hAnsi="TheSansOffice" w:cs="Arial"/>
              </w:rPr>
              <w:t>]</w:t>
            </w:r>
            <w:r w:rsidR="00E115B0">
              <w:rPr>
                <w:rFonts w:ascii="TheSansOffice" w:hAnsi="TheSansOffice" w:cs="Arial"/>
              </w:rPr>
              <w:t xml:space="preserve"> traten auf.</w:t>
            </w:r>
          </w:p>
          <w:p w14:paraId="04CEBDA0" w14:textId="77777777" w:rsidR="000A544B" w:rsidRDefault="000A544B" w:rsidP="000A544B">
            <w:pPr>
              <w:rPr>
                <w:rFonts w:ascii="TheSansOffice" w:hAnsi="TheSansOffice" w:cs="Arial"/>
              </w:rPr>
            </w:pPr>
          </w:p>
          <w:p w14:paraId="60955CA0" w14:textId="43E56A8F" w:rsidR="009C2028" w:rsidRDefault="009C2028" w:rsidP="000A544B">
            <w:pPr>
              <w:rPr>
                <w:rFonts w:ascii="TheSansOffice" w:hAnsi="TheSansOffice" w:cs="Arial"/>
              </w:rPr>
            </w:pPr>
            <w:r>
              <w:rPr>
                <w:rFonts w:ascii="TheSansOffice" w:hAnsi="TheSansOffice" w:cs="Arial"/>
              </w:rPr>
              <w:t>Des Weiteren befinden sich die folgenden Studien zu SIRT mit Holmium-166 in der Durchführung oder Planungsphase:</w:t>
            </w:r>
          </w:p>
          <w:p w14:paraId="5335D0D5" w14:textId="284D86A0" w:rsidR="009C2028" w:rsidRPr="00CF547A" w:rsidRDefault="009C2028" w:rsidP="009C2028">
            <w:pPr>
              <w:rPr>
                <w:rFonts w:ascii="TheSansOffice" w:hAnsi="TheSansOffice" w:cs="Arial"/>
              </w:rPr>
            </w:pPr>
            <w:r w:rsidRPr="00CF547A">
              <w:rPr>
                <w:rFonts w:ascii="TheSansOffice" w:hAnsi="TheSansOffice" w:cs="Arial"/>
              </w:rPr>
              <w:t>- HEPAR+</w:t>
            </w:r>
          </w:p>
          <w:p w14:paraId="41326185" w14:textId="59BD2C6B" w:rsidR="009C2028" w:rsidRPr="00200651" w:rsidRDefault="009C2028" w:rsidP="00200651">
            <w:pPr>
              <w:ind w:left="708"/>
              <w:rPr>
                <w:rFonts w:ascii="TheSansOffice" w:hAnsi="TheSansOffice" w:cs="Arial"/>
              </w:rPr>
            </w:pPr>
            <w:r w:rsidRPr="009C2028">
              <w:rPr>
                <w:rFonts w:ascii="TheSansOffice" w:hAnsi="TheSansOffice" w:cs="Arial"/>
              </w:rPr>
              <w:t xml:space="preserve">- </w:t>
            </w:r>
            <w:proofErr w:type="spellStart"/>
            <w:r w:rsidRPr="009C2028">
              <w:rPr>
                <w:rFonts w:ascii="TheSansOffice" w:hAnsi="TheSansOffice" w:cs="Arial"/>
              </w:rPr>
              <w:t>Scope</w:t>
            </w:r>
            <w:proofErr w:type="spellEnd"/>
            <w:r w:rsidRPr="009C2028">
              <w:rPr>
                <w:rFonts w:ascii="TheSansOffice" w:hAnsi="TheSansOffice" w:cs="Arial"/>
              </w:rPr>
              <w:t xml:space="preserve">: </w:t>
            </w:r>
            <w:r>
              <w:rPr>
                <w:rFonts w:ascii="TheSansOffice" w:hAnsi="TheSansOffice" w:cs="Arial"/>
              </w:rPr>
              <w:t>Neuroendokrine Metastasen</w:t>
            </w:r>
            <w:r w:rsidRPr="00200651">
              <w:rPr>
                <w:rFonts w:ascii="TheSansOffice" w:hAnsi="TheSansOffice" w:cs="Arial"/>
              </w:rPr>
              <w:t xml:space="preserve"> in der Leber</w:t>
            </w:r>
          </w:p>
          <w:p w14:paraId="31C12C2C" w14:textId="0B28DBB2" w:rsidR="009C2028" w:rsidRPr="00200651" w:rsidRDefault="009C2028" w:rsidP="00200651">
            <w:pPr>
              <w:ind w:left="708"/>
              <w:rPr>
                <w:rFonts w:ascii="TheSansOffice" w:hAnsi="TheSansOffice" w:cs="Arial"/>
              </w:rPr>
            </w:pPr>
            <w:r w:rsidRPr="009C2028">
              <w:rPr>
                <w:rFonts w:ascii="TheSansOffice" w:hAnsi="TheSansOffice" w:cs="Arial"/>
              </w:rPr>
              <w:t>- #Patienten</w:t>
            </w:r>
            <w:r w:rsidRPr="00200651">
              <w:rPr>
                <w:rFonts w:ascii="TheSansOffice" w:hAnsi="TheSansOffice" w:cs="Arial"/>
              </w:rPr>
              <w:t>: 30</w:t>
            </w:r>
          </w:p>
          <w:p w14:paraId="5AC85FCF" w14:textId="5A137227" w:rsidR="009C2028" w:rsidRPr="00FF6A96" w:rsidRDefault="009C2028" w:rsidP="00200651">
            <w:pPr>
              <w:ind w:left="708"/>
              <w:rPr>
                <w:rFonts w:ascii="TheSansOffice" w:hAnsi="TheSansOffice" w:cs="Arial"/>
              </w:rPr>
            </w:pPr>
            <w:r w:rsidRPr="00FF6A96">
              <w:rPr>
                <w:rFonts w:ascii="TheSansOffice" w:hAnsi="TheSansOffice" w:cs="Arial"/>
              </w:rPr>
              <w:t>- Sponsor:</w:t>
            </w:r>
            <w:r w:rsidR="008B786D" w:rsidRPr="00FF6A96">
              <w:rPr>
                <w:rFonts w:ascii="TheSansOffice" w:hAnsi="TheSansOffice" w:cs="Arial"/>
              </w:rPr>
              <w:t xml:space="preserve"> University Medical Center Utrecht</w:t>
            </w:r>
            <w:r w:rsidRPr="00FF6A96">
              <w:rPr>
                <w:rFonts w:ascii="TheSansOffice" w:hAnsi="TheSansOffice" w:cs="Arial"/>
              </w:rPr>
              <w:t xml:space="preserve"> </w:t>
            </w:r>
            <w:r w:rsidR="008B786D" w:rsidRPr="00FF6A96">
              <w:rPr>
                <w:rFonts w:ascii="TheSansOffice" w:hAnsi="TheSansOffice" w:cs="Arial"/>
              </w:rPr>
              <w:t>(</w:t>
            </w:r>
            <w:r w:rsidRPr="00FF6A96">
              <w:rPr>
                <w:rFonts w:ascii="TheSansOffice" w:hAnsi="TheSansOffice" w:cs="Arial"/>
              </w:rPr>
              <w:t>UMCU</w:t>
            </w:r>
            <w:r w:rsidR="008B786D" w:rsidRPr="00FF6A96">
              <w:rPr>
                <w:rFonts w:ascii="TheSansOffice" w:hAnsi="TheSansOffice" w:cs="Arial"/>
              </w:rPr>
              <w:t>)</w:t>
            </w:r>
          </w:p>
          <w:p w14:paraId="184534FE" w14:textId="757BC61A" w:rsidR="009C2028" w:rsidRPr="00200651" w:rsidRDefault="009C2028" w:rsidP="00200651">
            <w:pPr>
              <w:ind w:left="708"/>
              <w:rPr>
                <w:rFonts w:ascii="TheSansOffice" w:hAnsi="TheSansOffice" w:cs="Arial"/>
              </w:rPr>
            </w:pPr>
            <w:r w:rsidRPr="00200651">
              <w:rPr>
                <w:rFonts w:ascii="TheSansOffice" w:hAnsi="TheSansOffice" w:cs="Arial"/>
              </w:rPr>
              <w:t>- Status: Laufend</w:t>
            </w:r>
          </w:p>
          <w:p w14:paraId="2F8281D3" w14:textId="7DD4A14C" w:rsidR="009C2028" w:rsidRDefault="009C2028" w:rsidP="00200651">
            <w:pPr>
              <w:ind w:left="708"/>
              <w:rPr>
                <w:rFonts w:ascii="TheSansOffice" w:hAnsi="TheSansOffice" w:cs="Arial"/>
              </w:rPr>
            </w:pPr>
            <w:r>
              <w:rPr>
                <w:rFonts w:ascii="TheSansOffice" w:hAnsi="TheSansOffice" w:cs="Arial"/>
              </w:rPr>
              <w:t>-</w:t>
            </w:r>
            <w:r w:rsidR="00675522">
              <w:rPr>
                <w:rFonts w:ascii="TheSansOffice" w:hAnsi="TheSansOffice" w:cs="Arial"/>
              </w:rPr>
              <w:t xml:space="preserve"> Erwarteter Abschluss</w:t>
            </w:r>
            <w:r>
              <w:rPr>
                <w:rFonts w:ascii="TheSansOffice" w:hAnsi="TheSansOffice" w:cs="Arial"/>
              </w:rPr>
              <w:t>: 2018</w:t>
            </w:r>
          </w:p>
          <w:p w14:paraId="613CEBD3" w14:textId="77777777" w:rsidR="00675522" w:rsidRDefault="00675522" w:rsidP="00675522">
            <w:pPr>
              <w:rPr>
                <w:rFonts w:ascii="TheSansOffice" w:hAnsi="TheSansOffice" w:cs="Arial"/>
              </w:rPr>
            </w:pPr>
          </w:p>
          <w:p w14:paraId="792FEA5F" w14:textId="7E63FA41" w:rsidR="00675522" w:rsidRDefault="00675522" w:rsidP="00675522">
            <w:pPr>
              <w:rPr>
                <w:rFonts w:ascii="TheSansOffice" w:hAnsi="TheSansOffice" w:cs="Arial"/>
              </w:rPr>
            </w:pPr>
            <w:r w:rsidRPr="00675522">
              <w:rPr>
                <w:rFonts w:ascii="TheSansOffice" w:hAnsi="TheSansOffice" w:cs="Arial"/>
              </w:rPr>
              <w:t>-</w:t>
            </w:r>
            <w:r>
              <w:rPr>
                <w:rFonts w:ascii="TheSansOffice" w:hAnsi="TheSansOffice" w:cs="Arial"/>
              </w:rPr>
              <w:t xml:space="preserve"> </w:t>
            </w:r>
            <w:r w:rsidRPr="00966390">
              <w:rPr>
                <w:rFonts w:ascii="TheSansOffice" w:hAnsi="TheSansOffice" w:cs="Arial"/>
              </w:rPr>
              <w:t>SIM</w:t>
            </w:r>
          </w:p>
          <w:p w14:paraId="558FBDD4" w14:textId="6723FFE4" w:rsidR="00675522" w:rsidRPr="00A44B96" w:rsidRDefault="00675522" w:rsidP="00675522">
            <w:pPr>
              <w:ind w:left="708"/>
              <w:rPr>
                <w:rFonts w:ascii="TheSansOffice" w:hAnsi="TheSansOffice" w:cs="Arial"/>
              </w:rPr>
            </w:pPr>
            <w:r w:rsidRPr="009C2028">
              <w:rPr>
                <w:rFonts w:ascii="TheSansOffice" w:hAnsi="TheSansOffice" w:cs="Arial"/>
              </w:rPr>
              <w:t xml:space="preserve">- </w:t>
            </w:r>
            <w:proofErr w:type="spellStart"/>
            <w:r w:rsidRPr="009C2028">
              <w:rPr>
                <w:rFonts w:ascii="TheSansOffice" w:hAnsi="TheSansOffice" w:cs="Arial"/>
              </w:rPr>
              <w:t>Scope</w:t>
            </w:r>
            <w:proofErr w:type="spellEnd"/>
            <w:r w:rsidRPr="009C2028">
              <w:rPr>
                <w:rFonts w:ascii="TheSansOffice" w:hAnsi="TheSansOffice" w:cs="Arial"/>
              </w:rPr>
              <w:t xml:space="preserve">: </w:t>
            </w:r>
            <w:r w:rsidR="008B786D">
              <w:rPr>
                <w:rFonts w:ascii="TheSansOffice" w:hAnsi="TheSansOffice" w:cs="Arial"/>
              </w:rPr>
              <w:t>Metastasierende</w:t>
            </w:r>
            <w:r w:rsidR="00B17D98">
              <w:rPr>
                <w:rFonts w:ascii="TheSansOffice" w:hAnsi="TheSansOffice" w:cs="Arial"/>
              </w:rPr>
              <w:t>s</w:t>
            </w:r>
            <w:r w:rsidR="008B786D">
              <w:rPr>
                <w:rFonts w:ascii="TheSansOffice" w:hAnsi="TheSansOffice" w:cs="Arial"/>
              </w:rPr>
              <w:t xml:space="preserve"> </w:t>
            </w:r>
            <w:proofErr w:type="spellStart"/>
            <w:r w:rsidR="008B786D">
              <w:rPr>
                <w:rFonts w:ascii="TheSansOffice" w:hAnsi="TheSansOffice" w:cs="Arial"/>
              </w:rPr>
              <w:t>kolorektale</w:t>
            </w:r>
            <w:r w:rsidR="00B17D98">
              <w:rPr>
                <w:rFonts w:ascii="TheSansOffice" w:hAnsi="TheSansOffice" w:cs="Arial"/>
              </w:rPr>
              <w:t>s</w:t>
            </w:r>
            <w:proofErr w:type="spellEnd"/>
            <w:r w:rsidR="008B786D">
              <w:rPr>
                <w:rFonts w:ascii="TheSansOffice" w:hAnsi="TheSansOffice" w:cs="Arial"/>
              </w:rPr>
              <w:t xml:space="preserve"> </w:t>
            </w:r>
            <w:r w:rsidR="00B17D98">
              <w:rPr>
                <w:rFonts w:ascii="TheSansOffice" w:hAnsi="TheSansOffice" w:cs="Arial"/>
              </w:rPr>
              <w:t>Karzinom</w:t>
            </w:r>
            <w:r w:rsidR="008B786D">
              <w:rPr>
                <w:rFonts w:ascii="TheSansOffice" w:hAnsi="TheSansOffice" w:cs="Arial"/>
              </w:rPr>
              <w:t xml:space="preserve"> </w:t>
            </w:r>
            <w:r w:rsidR="00B17D98">
              <w:rPr>
                <w:rFonts w:ascii="TheSansOffice" w:hAnsi="TheSansOffice" w:cs="Arial"/>
              </w:rPr>
              <w:t>(</w:t>
            </w:r>
            <w:proofErr w:type="spellStart"/>
            <w:r>
              <w:rPr>
                <w:rFonts w:ascii="TheSansOffice" w:hAnsi="TheSansOffice" w:cs="Arial"/>
              </w:rPr>
              <w:t>mCRC</w:t>
            </w:r>
            <w:proofErr w:type="spellEnd"/>
            <w:r w:rsidR="00B17D98">
              <w:rPr>
                <w:rFonts w:ascii="TheSansOffice" w:hAnsi="TheSansOffice" w:cs="Arial"/>
              </w:rPr>
              <w:t>)</w:t>
            </w:r>
            <w:r>
              <w:rPr>
                <w:rFonts w:ascii="TheSansOffice" w:hAnsi="TheSansOffice" w:cs="Arial"/>
              </w:rPr>
              <w:t>, Einbringung durch Spezialkatheter</w:t>
            </w:r>
          </w:p>
          <w:p w14:paraId="0672495B" w14:textId="755AA761" w:rsidR="00675522" w:rsidRPr="00A44B96" w:rsidRDefault="00675522" w:rsidP="00675522">
            <w:pPr>
              <w:ind w:left="708"/>
              <w:rPr>
                <w:rFonts w:ascii="TheSansOffice" w:hAnsi="TheSansOffice" w:cs="Arial"/>
              </w:rPr>
            </w:pPr>
            <w:r w:rsidRPr="009C2028">
              <w:rPr>
                <w:rFonts w:ascii="TheSansOffice" w:hAnsi="TheSansOffice" w:cs="Arial"/>
              </w:rPr>
              <w:t>- #Patienten</w:t>
            </w:r>
            <w:r w:rsidRPr="00A44B96">
              <w:rPr>
                <w:rFonts w:ascii="TheSansOffice" w:hAnsi="TheSansOffice" w:cs="Arial"/>
              </w:rPr>
              <w:t xml:space="preserve">: </w:t>
            </w:r>
            <w:r>
              <w:rPr>
                <w:rFonts w:ascii="TheSansOffice" w:hAnsi="TheSansOffice" w:cs="Arial"/>
              </w:rPr>
              <w:t>25</w:t>
            </w:r>
          </w:p>
          <w:p w14:paraId="6974EBA4" w14:textId="12F5E9EF" w:rsidR="00675522" w:rsidRPr="00A44B96" w:rsidRDefault="00675522" w:rsidP="00675522">
            <w:pPr>
              <w:ind w:left="708"/>
              <w:rPr>
                <w:rFonts w:ascii="TheSansOffice" w:hAnsi="TheSansOffice" w:cs="Arial"/>
              </w:rPr>
            </w:pPr>
            <w:r w:rsidRPr="00A44B96">
              <w:rPr>
                <w:rFonts w:ascii="TheSansOffice" w:hAnsi="TheSansOffice" w:cs="Arial"/>
              </w:rPr>
              <w:t xml:space="preserve">- Sponsor: </w:t>
            </w:r>
            <w:r>
              <w:rPr>
                <w:rFonts w:ascii="TheSansOffice" w:hAnsi="TheSansOffice" w:cs="Arial"/>
              </w:rPr>
              <w:t>UMCU</w:t>
            </w:r>
          </w:p>
          <w:p w14:paraId="4580ECA3" w14:textId="21F5FF94" w:rsidR="00675522" w:rsidRPr="00A44B96" w:rsidRDefault="00675522" w:rsidP="00675522">
            <w:pPr>
              <w:ind w:left="708"/>
              <w:rPr>
                <w:rFonts w:ascii="TheSansOffice" w:hAnsi="TheSansOffice" w:cs="Arial"/>
              </w:rPr>
            </w:pPr>
            <w:r w:rsidRPr="00A44B96">
              <w:rPr>
                <w:rFonts w:ascii="TheSansOffice" w:hAnsi="TheSansOffice" w:cs="Arial"/>
              </w:rPr>
              <w:t xml:space="preserve">- Status: </w:t>
            </w:r>
            <w:r>
              <w:rPr>
                <w:rFonts w:ascii="TheSansOffice" w:hAnsi="TheSansOffice" w:cs="Arial"/>
              </w:rPr>
              <w:t>Laufend</w:t>
            </w:r>
          </w:p>
          <w:p w14:paraId="7E02FEEE" w14:textId="22F10267" w:rsidR="00675522" w:rsidRDefault="00675522" w:rsidP="00675522">
            <w:pPr>
              <w:ind w:left="708"/>
              <w:rPr>
                <w:rFonts w:ascii="TheSansOffice" w:hAnsi="TheSansOffice" w:cs="Arial"/>
              </w:rPr>
            </w:pPr>
            <w:r>
              <w:rPr>
                <w:rFonts w:ascii="TheSansOffice" w:hAnsi="TheSansOffice" w:cs="Arial"/>
              </w:rPr>
              <w:t>- Erwarteter Abschluss: 2018</w:t>
            </w:r>
          </w:p>
          <w:p w14:paraId="398D4BAA" w14:textId="77777777" w:rsidR="00301475" w:rsidRDefault="00301475" w:rsidP="00675522">
            <w:pPr>
              <w:ind w:left="708"/>
              <w:rPr>
                <w:rFonts w:ascii="TheSansOffice" w:hAnsi="TheSansOffice" w:cs="Arial"/>
              </w:rPr>
            </w:pPr>
          </w:p>
          <w:p w14:paraId="5F0C0E77" w14:textId="15C7BAAB" w:rsidR="00675522" w:rsidRDefault="00675522" w:rsidP="00675522">
            <w:pPr>
              <w:rPr>
                <w:rFonts w:ascii="TheSansOffice" w:hAnsi="TheSansOffice" w:cs="Arial"/>
              </w:rPr>
            </w:pPr>
            <w:r w:rsidRPr="00675522">
              <w:rPr>
                <w:rFonts w:ascii="TheSansOffice" w:hAnsi="TheSansOffice" w:cs="Arial"/>
              </w:rPr>
              <w:t>-</w:t>
            </w:r>
            <w:r>
              <w:rPr>
                <w:rFonts w:ascii="TheSansOffice" w:hAnsi="TheSansOffice" w:cs="Arial"/>
              </w:rPr>
              <w:t xml:space="preserve"> </w:t>
            </w:r>
            <w:r w:rsidRPr="00675522">
              <w:rPr>
                <w:rFonts w:ascii="TheSansOffice" w:hAnsi="TheSansOffice" w:cs="Arial"/>
              </w:rPr>
              <w:t>HORA EST HCC</w:t>
            </w:r>
          </w:p>
          <w:p w14:paraId="6A20FB93" w14:textId="1CFCBABE" w:rsidR="00675522" w:rsidRPr="00A44B96" w:rsidRDefault="00675522" w:rsidP="00675522">
            <w:pPr>
              <w:ind w:left="708"/>
              <w:rPr>
                <w:rFonts w:ascii="TheSansOffice" w:hAnsi="TheSansOffice" w:cs="Arial"/>
              </w:rPr>
            </w:pPr>
            <w:r w:rsidRPr="009C2028">
              <w:rPr>
                <w:rFonts w:ascii="TheSansOffice" w:hAnsi="TheSansOffice" w:cs="Arial"/>
              </w:rPr>
              <w:t xml:space="preserve">- </w:t>
            </w:r>
            <w:proofErr w:type="spellStart"/>
            <w:r w:rsidRPr="009C2028">
              <w:rPr>
                <w:rFonts w:ascii="TheSansOffice" w:hAnsi="TheSansOffice" w:cs="Arial"/>
              </w:rPr>
              <w:t>Scope</w:t>
            </w:r>
            <w:proofErr w:type="spellEnd"/>
            <w:r w:rsidRPr="009C2028">
              <w:rPr>
                <w:rFonts w:ascii="TheSansOffice" w:hAnsi="TheSansOffice" w:cs="Arial"/>
              </w:rPr>
              <w:t xml:space="preserve">: </w:t>
            </w:r>
            <w:r>
              <w:rPr>
                <w:rFonts w:ascii="TheSansOffice" w:hAnsi="TheSansOffice" w:cs="Arial"/>
              </w:rPr>
              <w:t xml:space="preserve">SIRT (Ho) als </w:t>
            </w:r>
            <w:proofErr w:type="spellStart"/>
            <w:r>
              <w:rPr>
                <w:rFonts w:ascii="TheSansOffice" w:hAnsi="TheSansOffice" w:cs="Arial"/>
              </w:rPr>
              <w:t>adjuvante</w:t>
            </w:r>
            <w:proofErr w:type="spellEnd"/>
            <w:r>
              <w:rPr>
                <w:rFonts w:ascii="TheSansOffice" w:hAnsi="TheSansOffice" w:cs="Arial"/>
              </w:rPr>
              <w:t xml:space="preserve"> Therapie zur Radiofrequenzablation </w:t>
            </w:r>
            <w:r w:rsidR="00966390">
              <w:rPr>
                <w:rFonts w:ascii="TheSansOffice" w:hAnsi="TheSansOffice" w:cs="Arial"/>
              </w:rPr>
              <w:t xml:space="preserve">für </w:t>
            </w:r>
            <w:proofErr w:type="spellStart"/>
            <w:r w:rsidR="00966390" w:rsidRPr="00966390">
              <w:rPr>
                <w:rFonts w:ascii="TheSansOffice" w:hAnsi="TheSansOffice" w:cs="Arial"/>
              </w:rPr>
              <w:t>hepatozelluläre</w:t>
            </w:r>
            <w:proofErr w:type="spellEnd"/>
            <w:r w:rsidR="00966390" w:rsidRPr="00966390">
              <w:rPr>
                <w:rFonts w:ascii="TheSansOffice" w:hAnsi="TheSansOffice" w:cs="Arial"/>
              </w:rPr>
              <w:t xml:space="preserve"> Karzinom</w:t>
            </w:r>
            <w:r w:rsidR="00966390">
              <w:rPr>
                <w:rFonts w:ascii="TheSansOffice" w:hAnsi="TheSansOffice" w:cs="Arial"/>
              </w:rPr>
              <w:t>e</w:t>
            </w:r>
            <w:r w:rsidR="00301475">
              <w:rPr>
                <w:rFonts w:ascii="TheSansOffice" w:hAnsi="TheSansOffice" w:cs="Arial"/>
              </w:rPr>
              <w:t xml:space="preserve"> (HCC)</w:t>
            </w:r>
          </w:p>
          <w:p w14:paraId="0E602839" w14:textId="77777777" w:rsidR="00675522" w:rsidRPr="00FF6A96" w:rsidRDefault="00675522" w:rsidP="00675522">
            <w:pPr>
              <w:ind w:left="708"/>
              <w:rPr>
                <w:rFonts w:ascii="TheSansOffice" w:hAnsi="TheSansOffice" w:cs="Arial"/>
                <w:lang w:val="en-US"/>
              </w:rPr>
            </w:pPr>
            <w:r w:rsidRPr="00FF6A96">
              <w:rPr>
                <w:rFonts w:ascii="TheSansOffice" w:hAnsi="TheSansOffice" w:cs="Arial"/>
                <w:lang w:val="en-US"/>
              </w:rPr>
              <w:t>- #</w:t>
            </w:r>
            <w:proofErr w:type="spellStart"/>
            <w:r w:rsidRPr="00FF6A96">
              <w:rPr>
                <w:rFonts w:ascii="TheSansOffice" w:hAnsi="TheSansOffice" w:cs="Arial"/>
                <w:lang w:val="en-US"/>
              </w:rPr>
              <w:t>Patienten</w:t>
            </w:r>
            <w:proofErr w:type="spellEnd"/>
            <w:r w:rsidRPr="00FF6A96">
              <w:rPr>
                <w:rFonts w:ascii="TheSansOffice" w:hAnsi="TheSansOffice" w:cs="Arial"/>
                <w:lang w:val="en-US"/>
              </w:rPr>
              <w:t>: 20</w:t>
            </w:r>
          </w:p>
          <w:p w14:paraId="19F3C2D0" w14:textId="32D0D72A" w:rsidR="00675522" w:rsidRPr="00B17D98" w:rsidRDefault="00675522" w:rsidP="00675522">
            <w:pPr>
              <w:ind w:left="708"/>
              <w:rPr>
                <w:rFonts w:ascii="TheSansOffice" w:hAnsi="TheSansOffice" w:cs="Arial"/>
                <w:lang w:val="en-US"/>
              </w:rPr>
            </w:pPr>
            <w:r w:rsidRPr="00B17D98">
              <w:rPr>
                <w:rFonts w:ascii="TheSansOffice" w:hAnsi="TheSansOffice" w:cs="Arial"/>
                <w:lang w:val="en-US"/>
              </w:rPr>
              <w:t xml:space="preserve">- Sponsor: </w:t>
            </w:r>
            <w:r w:rsidR="00B17D98" w:rsidRPr="00B17D98">
              <w:rPr>
                <w:rFonts w:ascii="TheSansOffice" w:hAnsi="TheSansOffice" w:cs="Arial"/>
                <w:lang w:val="en-US"/>
              </w:rPr>
              <w:t xml:space="preserve">Leiden University Medical Center/Academic Medical Center Amsterdam </w:t>
            </w:r>
            <w:r w:rsidR="00B17D98">
              <w:rPr>
                <w:rFonts w:ascii="TheSansOffice" w:hAnsi="TheSansOffice" w:cs="Arial"/>
                <w:lang w:val="en-US"/>
              </w:rPr>
              <w:t>(</w:t>
            </w:r>
            <w:r w:rsidR="00966390" w:rsidRPr="00B17D98">
              <w:rPr>
                <w:rFonts w:ascii="TheSansOffice" w:hAnsi="TheSansOffice" w:cs="Arial"/>
                <w:lang w:val="en-US"/>
              </w:rPr>
              <w:t>LUMC/AMC</w:t>
            </w:r>
            <w:r w:rsidR="00B17D98">
              <w:rPr>
                <w:rFonts w:ascii="TheSansOffice" w:hAnsi="TheSansOffice" w:cs="Arial"/>
                <w:lang w:val="en-US"/>
              </w:rPr>
              <w:t>)</w:t>
            </w:r>
          </w:p>
          <w:p w14:paraId="37857091" w14:textId="6B89B85B" w:rsidR="00675522" w:rsidRPr="00A44B96" w:rsidRDefault="00675522" w:rsidP="00966390">
            <w:pPr>
              <w:ind w:left="708"/>
              <w:rPr>
                <w:rFonts w:ascii="TheSansOffice" w:hAnsi="TheSansOffice" w:cs="Arial"/>
              </w:rPr>
            </w:pPr>
            <w:r w:rsidRPr="00A44B96">
              <w:rPr>
                <w:rFonts w:ascii="TheSansOffice" w:hAnsi="TheSansOffice" w:cs="Arial"/>
              </w:rPr>
              <w:t xml:space="preserve">- Status: </w:t>
            </w:r>
            <w:r w:rsidR="008010B4">
              <w:rPr>
                <w:rFonts w:ascii="TheSansOffice" w:hAnsi="TheSansOffice" w:cs="Arial"/>
              </w:rPr>
              <w:t>Laufend</w:t>
            </w:r>
          </w:p>
          <w:p w14:paraId="153C3DB3" w14:textId="1D727EDC" w:rsidR="00675522" w:rsidRDefault="00675522" w:rsidP="00675522">
            <w:pPr>
              <w:ind w:left="708"/>
              <w:rPr>
                <w:rFonts w:ascii="TheSansOffice" w:hAnsi="TheSansOffice" w:cs="Arial"/>
              </w:rPr>
            </w:pPr>
            <w:r>
              <w:rPr>
                <w:rFonts w:ascii="TheSansOffice" w:hAnsi="TheSansOffice" w:cs="Arial"/>
              </w:rPr>
              <w:t xml:space="preserve">- Erwarteter Abschluss: </w:t>
            </w:r>
            <w:r w:rsidR="00966390">
              <w:rPr>
                <w:rFonts w:ascii="TheSansOffice" w:hAnsi="TheSansOffice" w:cs="Arial"/>
              </w:rPr>
              <w:t>201</w:t>
            </w:r>
            <w:r w:rsidR="008010B4">
              <w:rPr>
                <w:rFonts w:ascii="TheSansOffice" w:hAnsi="TheSansOffice" w:cs="Arial"/>
              </w:rPr>
              <w:t>9</w:t>
            </w:r>
          </w:p>
          <w:p w14:paraId="26071F08" w14:textId="77777777" w:rsidR="00966390" w:rsidRDefault="00966390" w:rsidP="00966390">
            <w:pPr>
              <w:rPr>
                <w:rFonts w:ascii="TheSansOffice" w:hAnsi="TheSansOffice" w:cs="Arial"/>
              </w:rPr>
            </w:pPr>
          </w:p>
          <w:p w14:paraId="42A5EE25" w14:textId="225D7242" w:rsidR="00966390" w:rsidRPr="00966390" w:rsidRDefault="00966390" w:rsidP="00966390">
            <w:pPr>
              <w:rPr>
                <w:rFonts w:ascii="TheSansOffice" w:hAnsi="TheSansOffice" w:cs="Arial"/>
              </w:rPr>
            </w:pPr>
            <w:r w:rsidRPr="00966390">
              <w:rPr>
                <w:rFonts w:ascii="TheSansOffice" w:hAnsi="TheSansOffice" w:cs="Arial"/>
              </w:rPr>
              <w:t>-</w:t>
            </w:r>
            <w:r>
              <w:rPr>
                <w:rFonts w:ascii="TheSansOffice" w:hAnsi="TheSansOffice" w:cs="Arial"/>
              </w:rPr>
              <w:t xml:space="preserve"> </w:t>
            </w:r>
            <w:r w:rsidRPr="00966390">
              <w:rPr>
                <w:rFonts w:ascii="TheSansOffice" w:hAnsi="TheSansOffice" w:cs="Arial"/>
              </w:rPr>
              <w:t>HEPAR Primary</w:t>
            </w:r>
          </w:p>
          <w:p w14:paraId="568DED7F" w14:textId="62CE14CF" w:rsidR="00966390" w:rsidRPr="00A44B96" w:rsidRDefault="00966390" w:rsidP="00966390">
            <w:pPr>
              <w:ind w:left="708"/>
              <w:rPr>
                <w:rFonts w:ascii="TheSansOffice" w:hAnsi="TheSansOffice" w:cs="Arial"/>
              </w:rPr>
            </w:pPr>
            <w:r w:rsidRPr="009C2028">
              <w:rPr>
                <w:rFonts w:ascii="TheSansOffice" w:hAnsi="TheSansOffice" w:cs="Arial"/>
              </w:rPr>
              <w:t xml:space="preserve">- </w:t>
            </w:r>
            <w:proofErr w:type="spellStart"/>
            <w:r w:rsidRPr="009C2028">
              <w:rPr>
                <w:rFonts w:ascii="TheSansOffice" w:hAnsi="TheSansOffice" w:cs="Arial"/>
              </w:rPr>
              <w:t>Scope</w:t>
            </w:r>
            <w:proofErr w:type="spellEnd"/>
            <w:r w:rsidRPr="009C2028">
              <w:rPr>
                <w:rFonts w:ascii="TheSansOffice" w:hAnsi="TheSansOffice" w:cs="Arial"/>
              </w:rPr>
              <w:t xml:space="preserve">: </w:t>
            </w:r>
            <w:r>
              <w:rPr>
                <w:rFonts w:ascii="TheSansOffice" w:hAnsi="TheSansOffice" w:cs="Arial"/>
              </w:rPr>
              <w:t xml:space="preserve">Phase I Studie für </w:t>
            </w:r>
            <w:r w:rsidR="00301475">
              <w:rPr>
                <w:rFonts w:ascii="TheSansOffice" w:hAnsi="TheSansOffice" w:cs="Arial"/>
              </w:rPr>
              <w:t>HCC</w:t>
            </w:r>
          </w:p>
          <w:p w14:paraId="1DDD0F5C" w14:textId="1365B4AA" w:rsidR="00966390" w:rsidRPr="00A44B96" w:rsidRDefault="00966390" w:rsidP="00966390">
            <w:pPr>
              <w:ind w:left="708"/>
              <w:rPr>
                <w:rFonts w:ascii="TheSansOffice" w:hAnsi="TheSansOffice" w:cs="Arial"/>
              </w:rPr>
            </w:pPr>
            <w:r w:rsidRPr="009C2028">
              <w:rPr>
                <w:rFonts w:ascii="TheSansOffice" w:hAnsi="TheSansOffice" w:cs="Arial"/>
              </w:rPr>
              <w:t>- #Patienten</w:t>
            </w:r>
            <w:r w:rsidRPr="00A44B96">
              <w:rPr>
                <w:rFonts w:ascii="TheSansOffice" w:hAnsi="TheSansOffice" w:cs="Arial"/>
              </w:rPr>
              <w:t xml:space="preserve">: </w:t>
            </w:r>
            <w:r>
              <w:rPr>
                <w:rFonts w:ascii="TheSansOffice" w:hAnsi="TheSansOffice" w:cs="Arial"/>
              </w:rPr>
              <w:t>30</w:t>
            </w:r>
          </w:p>
          <w:p w14:paraId="44A2F751" w14:textId="77777777" w:rsidR="00966390" w:rsidRPr="00A44B96" w:rsidRDefault="00966390" w:rsidP="00966390">
            <w:pPr>
              <w:ind w:left="708"/>
              <w:rPr>
                <w:rFonts w:ascii="TheSansOffice" w:hAnsi="TheSansOffice" w:cs="Arial"/>
              </w:rPr>
            </w:pPr>
            <w:r w:rsidRPr="00A44B96">
              <w:rPr>
                <w:rFonts w:ascii="TheSansOffice" w:hAnsi="TheSansOffice" w:cs="Arial"/>
              </w:rPr>
              <w:t xml:space="preserve">- Sponsor: </w:t>
            </w:r>
            <w:r>
              <w:rPr>
                <w:rFonts w:ascii="TheSansOffice" w:hAnsi="TheSansOffice" w:cs="Arial"/>
              </w:rPr>
              <w:t>UMCU</w:t>
            </w:r>
          </w:p>
          <w:p w14:paraId="3AF6AF6D" w14:textId="77777777" w:rsidR="00966390" w:rsidRPr="00A44B96" w:rsidRDefault="00966390" w:rsidP="00966390">
            <w:pPr>
              <w:ind w:left="708"/>
              <w:rPr>
                <w:rFonts w:ascii="TheSansOffice" w:hAnsi="TheSansOffice" w:cs="Arial"/>
              </w:rPr>
            </w:pPr>
            <w:r w:rsidRPr="00A44B96">
              <w:rPr>
                <w:rFonts w:ascii="TheSansOffice" w:hAnsi="TheSansOffice" w:cs="Arial"/>
              </w:rPr>
              <w:t xml:space="preserve">- Status: </w:t>
            </w:r>
            <w:r>
              <w:rPr>
                <w:rFonts w:ascii="TheSansOffice" w:hAnsi="TheSansOffice" w:cs="Arial"/>
              </w:rPr>
              <w:t>Laufend</w:t>
            </w:r>
          </w:p>
          <w:p w14:paraId="24B4A9A3" w14:textId="77777777" w:rsidR="00966390" w:rsidRDefault="00966390" w:rsidP="00966390">
            <w:pPr>
              <w:ind w:left="708"/>
              <w:rPr>
                <w:rFonts w:ascii="TheSansOffice" w:hAnsi="TheSansOffice" w:cs="Arial"/>
              </w:rPr>
            </w:pPr>
            <w:r>
              <w:rPr>
                <w:rFonts w:ascii="TheSansOffice" w:hAnsi="TheSansOffice" w:cs="Arial"/>
              </w:rPr>
              <w:t>- Erwarteter Abschluss: 2018</w:t>
            </w:r>
          </w:p>
          <w:p w14:paraId="2E98210D" w14:textId="77777777" w:rsidR="00966390" w:rsidRPr="00966390" w:rsidRDefault="00966390" w:rsidP="003E7AC0">
            <w:pPr>
              <w:rPr>
                <w:rFonts w:ascii="TheSansOffice" w:hAnsi="TheSansOffice" w:cs="Arial"/>
              </w:rPr>
            </w:pPr>
          </w:p>
          <w:p w14:paraId="7F099DD2" w14:textId="3565678D" w:rsidR="00B90AD9" w:rsidRDefault="00B90AD9" w:rsidP="00B90AD9">
            <w:pPr>
              <w:rPr>
                <w:rFonts w:ascii="TheSansOffice" w:hAnsi="TheSansOffice" w:cs="Arial"/>
              </w:rPr>
            </w:pPr>
            <w:r>
              <w:rPr>
                <w:rFonts w:ascii="TheSansOffice" w:hAnsi="TheSansOffice" w:cs="Arial"/>
              </w:rPr>
              <w:lastRenderedPageBreak/>
              <w:t xml:space="preserve">Darüber hinaus wird für </w:t>
            </w:r>
            <w:proofErr w:type="spellStart"/>
            <w:r>
              <w:rPr>
                <w:rFonts w:ascii="TheSansOffice" w:hAnsi="TheSansOffice" w:cs="Arial"/>
              </w:rPr>
              <w:t>QuiremSpheres</w:t>
            </w:r>
            <w:proofErr w:type="spellEnd"/>
            <w:r w:rsidRPr="00A44B96">
              <w:rPr>
                <w:rFonts w:ascii="TheSansOffice" w:hAnsi="TheSansOffice" w:cs="Arial"/>
                <w:vertAlign w:val="superscript"/>
              </w:rPr>
              <w:t>®</w:t>
            </w:r>
            <w:r>
              <w:rPr>
                <w:rFonts w:ascii="TheSansOffice" w:hAnsi="TheSansOffice" w:cs="Arial"/>
              </w:rPr>
              <w:t xml:space="preserve"> eine umfassende Registerstudie durchgeführt:</w:t>
            </w:r>
          </w:p>
          <w:p w14:paraId="16A2F824" w14:textId="3307C5D8" w:rsidR="00B90AD9" w:rsidRDefault="00B90AD9" w:rsidP="00B90AD9">
            <w:pPr>
              <w:rPr>
                <w:rFonts w:ascii="TheSansOffice" w:hAnsi="TheSansOffice" w:cs="Arial"/>
              </w:rPr>
            </w:pPr>
            <w:r w:rsidRPr="00966390">
              <w:rPr>
                <w:rFonts w:ascii="TheSansOffice" w:hAnsi="TheSansOffice" w:cs="Arial"/>
              </w:rPr>
              <w:t>-</w:t>
            </w:r>
            <w:r>
              <w:rPr>
                <w:rFonts w:ascii="TheSansOffice" w:hAnsi="TheSansOffice" w:cs="Arial"/>
              </w:rPr>
              <w:t xml:space="preserve"> </w:t>
            </w:r>
            <w:r w:rsidRPr="00B90AD9">
              <w:rPr>
                <w:rFonts w:ascii="TheSansOffice" w:hAnsi="TheSansOffice" w:cs="Arial"/>
              </w:rPr>
              <w:t>HOPE 166</w:t>
            </w:r>
            <w:r>
              <w:rPr>
                <w:rFonts w:ascii="TheSansOffice" w:hAnsi="TheSansOffice" w:cs="Arial"/>
              </w:rPr>
              <w:t xml:space="preserve"> Beobachtungsstudie</w:t>
            </w:r>
          </w:p>
          <w:p w14:paraId="051649BC" w14:textId="77777777" w:rsidR="00B90AD9" w:rsidRPr="00A44B96" w:rsidRDefault="00B90AD9" w:rsidP="00B90AD9">
            <w:pPr>
              <w:ind w:left="708"/>
              <w:rPr>
                <w:rFonts w:ascii="TheSansOffice" w:hAnsi="TheSansOffice" w:cs="Arial"/>
              </w:rPr>
            </w:pPr>
            <w:r w:rsidRPr="009C2028">
              <w:rPr>
                <w:rFonts w:ascii="TheSansOffice" w:hAnsi="TheSansOffice" w:cs="Arial"/>
              </w:rPr>
              <w:t xml:space="preserve">- </w:t>
            </w:r>
            <w:proofErr w:type="spellStart"/>
            <w:r w:rsidRPr="009C2028">
              <w:rPr>
                <w:rFonts w:ascii="TheSansOffice" w:hAnsi="TheSansOffice" w:cs="Arial"/>
              </w:rPr>
              <w:t>Scope</w:t>
            </w:r>
            <w:proofErr w:type="spellEnd"/>
            <w:r w:rsidRPr="009C2028">
              <w:rPr>
                <w:rFonts w:ascii="TheSansOffice" w:hAnsi="TheSansOffice" w:cs="Arial"/>
              </w:rPr>
              <w:t xml:space="preserve">: </w:t>
            </w:r>
            <w:r>
              <w:rPr>
                <w:rFonts w:ascii="TheSansOffice" w:hAnsi="TheSansOffice" w:cs="Arial"/>
              </w:rPr>
              <w:t>Erhebung von Realdaten</w:t>
            </w:r>
          </w:p>
          <w:p w14:paraId="43175DCE" w14:textId="77777777" w:rsidR="00B90AD9" w:rsidRPr="00A44B96" w:rsidRDefault="00B90AD9" w:rsidP="00B90AD9">
            <w:pPr>
              <w:ind w:left="708"/>
              <w:rPr>
                <w:rFonts w:ascii="TheSansOffice" w:hAnsi="TheSansOffice" w:cs="Arial"/>
              </w:rPr>
            </w:pPr>
            <w:r w:rsidRPr="009C2028">
              <w:rPr>
                <w:rFonts w:ascii="TheSansOffice" w:hAnsi="TheSansOffice" w:cs="Arial"/>
              </w:rPr>
              <w:t>- #Patienten</w:t>
            </w:r>
            <w:r w:rsidRPr="00A44B96">
              <w:rPr>
                <w:rFonts w:ascii="TheSansOffice" w:hAnsi="TheSansOffice" w:cs="Arial"/>
              </w:rPr>
              <w:t xml:space="preserve">: </w:t>
            </w:r>
            <w:r>
              <w:rPr>
                <w:rFonts w:ascii="TheSansOffice" w:hAnsi="TheSansOffice" w:cs="Arial"/>
              </w:rPr>
              <w:t>&gt;100</w:t>
            </w:r>
          </w:p>
          <w:p w14:paraId="72767DA0" w14:textId="77777777" w:rsidR="00B90AD9" w:rsidRPr="00A44B96" w:rsidRDefault="00B90AD9" w:rsidP="00B90AD9">
            <w:pPr>
              <w:ind w:left="708"/>
              <w:rPr>
                <w:rFonts w:ascii="TheSansOffice" w:hAnsi="TheSansOffice" w:cs="Arial"/>
              </w:rPr>
            </w:pPr>
            <w:r>
              <w:rPr>
                <w:rFonts w:ascii="TheSansOffice" w:hAnsi="TheSansOffice" w:cs="Arial"/>
              </w:rPr>
              <w:t xml:space="preserve">- Sponsor: </w:t>
            </w:r>
            <w:proofErr w:type="spellStart"/>
            <w:r>
              <w:rPr>
                <w:rFonts w:ascii="TheSansOffice" w:hAnsi="TheSansOffice" w:cs="Arial"/>
              </w:rPr>
              <w:t>Terumo</w:t>
            </w:r>
            <w:proofErr w:type="spellEnd"/>
          </w:p>
          <w:p w14:paraId="46BE6281" w14:textId="4F3A643D" w:rsidR="00B90AD9" w:rsidRPr="00A44B96" w:rsidRDefault="00B90AD9" w:rsidP="00B90AD9">
            <w:pPr>
              <w:ind w:left="708"/>
              <w:rPr>
                <w:rFonts w:ascii="TheSansOffice" w:hAnsi="TheSansOffice" w:cs="Arial"/>
              </w:rPr>
            </w:pPr>
            <w:r w:rsidRPr="00A44B96">
              <w:rPr>
                <w:rFonts w:ascii="TheSansOffice" w:hAnsi="TheSansOffice" w:cs="Arial"/>
              </w:rPr>
              <w:t xml:space="preserve">- Status: </w:t>
            </w:r>
            <w:r w:rsidR="00F16C73">
              <w:rPr>
                <w:rFonts w:ascii="TheSansOffice" w:hAnsi="TheSansOffice" w:cs="Arial"/>
              </w:rPr>
              <w:t>Laufend</w:t>
            </w:r>
          </w:p>
          <w:p w14:paraId="10D5C09D" w14:textId="77777777" w:rsidR="00B90AD9" w:rsidRDefault="00B90AD9" w:rsidP="00B90AD9">
            <w:pPr>
              <w:ind w:left="708"/>
              <w:rPr>
                <w:rFonts w:ascii="TheSansOffice" w:hAnsi="TheSansOffice" w:cs="Arial"/>
              </w:rPr>
            </w:pPr>
            <w:r>
              <w:rPr>
                <w:rFonts w:ascii="TheSansOffice" w:hAnsi="TheSansOffice" w:cs="Arial"/>
              </w:rPr>
              <w:t>- Erwarteter Abschluss: Noch festzulegen</w:t>
            </w:r>
          </w:p>
          <w:p w14:paraId="5C848912" w14:textId="77777777" w:rsidR="00675522" w:rsidRPr="00966390" w:rsidRDefault="00675522" w:rsidP="003F534C">
            <w:pPr>
              <w:rPr>
                <w:rFonts w:ascii="TheSansOffice" w:hAnsi="TheSansOffice" w:cs="Arial"/>
              </w:rPr>
            </w:pPr>
          </w:p>
          <w:p w14:paraId="660A9BB5" w14:textId="673E265C" w:rsidR="000A544B" w:rsidRPr="00FF6A96" w:rsidRDefault="000A544B" w:rsidP="00B211F7">
            <w:pPr>
              <w:rPr>
                <w:rFonts w:ascii="TheSansOffice" w:hAnsi="TheSansOffice" w:cs="Arial"/>
                <w:lang w:val="en-US"/>
              </w:rPr>
            </w:pPr>
            <w:proofErr w:type="spellStart"/>
            <w:r w:rsidRPr="00FF6A96">
              <w:rPr>
                <w:rFonts w:ascii="TheSansOffice" w:hAnsi="TheSansOffice" w:cs="Arial"/>
                <w:lang w:val="en-US"/>
              </w:rPr>
              <w:t>Quellenangaben</w:t>
            </w:r>
            <w:proofErr w:type="spellEnd"/>
            <w:r w:rsidRPr="00FF6A96">
              <w:rPr>
                <w:rFonts w:ascii="TheSansOffice" w:hAnsi="TheSansOffice" w:cs="Arial"/>
                <w:lang w:val="en-US"/>
              </w:rPr>
              <w:t>/</w:t>
            </w:r>
            <w:proofErr w:type="spellStart"/>
            <w:r w:rsidRPr="00FF6A96">
              <w:rPr>
                <w:rFonts w:ascii="TheSansOffice" w:hAnsi="TheSansOffice" w:cs="Arial"/>
                <w:lang w:val="en-US"/>
              </w:rPr>
              <w:t>Literatur</w:t>
            </w:r>
            <w:proofErr w:type="spellEnd"/>
          </w:p>
          <w:p w14:paraId="493AFEA0" w14:textId="77777777" w:rsidR="00FA72A8" w:rsidRPr="00FF6A96" w:rsidRDefault="00FA72A8" w:rsidP="00B211F7">
            <w:pPr>
              <w:rPr>
                <w:rFonts w:ascii="TheSansOffice" w:hAnsi="TheSansOffice" w:cs="Arial"/>
                <w:lang w:val="en-US"/>
              </w:rPr>
            </w:pPr>
          </w:p>
          <w:p w14:paraId="40046D62" w14:textId="0D701632" w:rsidR="000A544B" w:rsidRDefault="003A7A7F" w:rsidP="000A544B">
            <w:pPr>
              <w:rPr>
                <w:rFonts w:ascii="TheSansOffice" w:hAnsi="TheSansOffice" w:cs="Arial"/>
                <w:lang w:val="en-US"/>
              </w:rPr>
            </w:pPr>
            <w:r w:rsidRPr="003A7A7F">
              <w:rPr>
                <w:rFonts w:ascii="TheSansOffice" w:hAnsi="TheSansOffice" w:cs="Arial"/>
                <w:lang w:val="en-US"/>
              </w:rPr>
              <w:t xml:space="preserve">[1] </w:t>
            </w:r>
            <w:proofErr w:type="spellStart"/>
            <w:r w:rsidRPr="003A7A7F">
              <w:rPr>
                <w:rFonts w:ascii="TheSansOffice" w:hAnsi="TheSansOffice" w:cs="Arial"/>
                <w:lang w:val="en-US"/>
              </w:rPr>
              <w:t>Wondergem</w:t>
            </w:r>
            <w:proofErr w:type="spellEnd"/>
            <w:r w:rsidRPr="003A7A7F">
              <w:rPr>
                <w:rFonts w:ascii="TheSansOffice" w:hAnsi="TheSansOffice" w:cs="Arial"/>
                <w:lang w:val="en-US"/>
              </w:rPr>
              <w:t xml:space="preserve"> M, Smits, Maarten L J, </w:t>
            </w:r>
            <w:proofErr w:type="spellStart"/>
            <w:r w:rsidRPr="003A7A7F">
              <w:rPr>
                <w:rFonts w:ascii="TheSansOffice" w:hAnsi="TheSansOffice" w:cs="Arial"/>
                <w:lang w:val="en-US"/>
              </w:rPr>
              <w:t>Elschot</w:t>
            </w:r>
            <w:proofErr w:type="spellEnd"/>
            <w:r w:rsidRPr="003A7A7F">
              <w:rPr>
                <w:rFonts w:ascii="TheSansOffice" w:hAnsi="TheSansOffice" w:cs="Arial"/>
                <w:lang w:val="en-US"/>
              </w:rPr>
              <w:t xml:space="preserve"> M et al. 99mTc-macroaggregated albumin poorly predicts the intrahepatic distribution of 90Y resin microspheres in hepatic </w:t>
            </w:r>
            <w:proofErr w:type="spellStart"/>
            <w:r w:rsidRPr="003A7A7F">
              <w:rPr>
                <w:rFonts w:ascii="TheSansOffice" w:hAnsi="TheSansOffice" w:cs="Arial"/>
                <w:lang w:val="en-US"/>
              </w:rPr>
              <w:t>radioembolization</w:t>
            </w:r>
            <w:proofErr w:type="spellEnd"/>
            <w:r w:rsidRPr="003A7A7F">
              <w:rPr>
                <w:rFonts w:ascii="TheSansOffice" w:hAnsi="TheSansOffice" w:cs="Arial"/>
                <w:lang w:val="en-US"/>
              </w:rPr>
              <w:t xml:space="preserve">. J </w:t>
            </w:r>
            <w:proofErr w:type="spellStart"/>
            <w:r w:rsidRPr="003A7A7F">
              <w:rPr>
                <w:rFonts w:ascii="TheSansOffice" w:hAnsi="TheSansOffice" w:cs="Arial"/>
                <w:lang w:val="en-US"/>
              </w:rPr>
              <w:t>Nucl</w:t>
            </w:r>
            <w:proofErr w:type="spellEnd"/>
            <w:r w:rsidRPr="003A7A7F">
              <w:rPr>
                <w:rFonts w:ascii="TheSansOffice" w:hAnsi="TheSansOffice" w:cs="Arial"/>
                <w:lang w:val="en-US"/>
              </w:rPr>
              <w:t xml:space="preserve"> Med; DOI: 10.2967/jnumed.112.117614</w:t>
            </w:r>
          </w:p>
          <w:p w14:paraId="20104479" w14:textId="2028888B" w:rsidR="003A7A7F" w:rsidRPr="003A7A7F" w:rsidRDefault="003A7A7F" w:rsidP="000A544B">
            <w:pPr>
              <w:rPr>
                <w:rFonts w:ascii="TheSansOffice" w:hAnsi="TheSansOffice" w:cs="Arial"/>
                <w:lang w:val="en-US"/>
              </w:rPr>
            </w:pPr>
            <w:r>
              <w:rPr>
                <w:rFonts w:ascii="TheSansOffice" w:hAnsi="TheSansOffice" w:cs="Arial"/>
                <w:lang w:val="en-US"/>
              </w:rPr>
              <w:t>[2</w:t>
            </w:r>
            <w:r w:rsidRPr="003A7A7F">
              <w:rPr>
                <w:rFonts w:ascii="TheSansOffice" w:hAnsi="TheSansOffice" w:cs="Arial"/>
                <w:lang w:val="en-US"/>
              </w:rPr>
              <w:t>]</w:t>
            </w:r>
            <w:r>
              <w:rPr>
                <w:rFonts w:ascii="TheSansOffice" w:hAnsi="TheSansOffice" w:cs="Arial"/>
                <w:lang w:val="en-US"/>
              </w:rPr>
              <w:t xml:space="preserve"> </w:t>
            </w:r>
            <w:proofErr w:type="spellStart"/>
            <w:r w:rsidRPr="003A7A7F">
              <w:rPr>
                <w:rFonts w:ascii="TheSansOffice" w:hAnsi="TheSansOffice" w:cs="Arial"/>
                <w:lang w:val="en-US"/>
              </w:rPr>
              <w:t>Braat</w:t>
            </w:r>
            <w:proofErr w:type="spellEnd"/>
            <w:r w:rsidRPr="003A7A7F">
              <w:rPr>
                <w:rFonts w:ascii="TheSansOffice" w:hAnsi="TheSansOffice" w:cs="Arial"/>
                <w:lang w:val="en-US"/>
              </w:rPr>
              <w:t xml:space="preserve">, Arthur J A T, Prince JF, van </w:t>
            </w:r>
            <w:proofErr w:type="spellStart"/>
            <w:r w:rsidRPr="003A7A7F">
              <w:rPr>
                <w:rFonts w:ascii="TheSansOffice" w:hAnsi="TheSansOffice" w:cs="Arial"/>
                <w:lang w:val="en-US"/>
              </w:rPr>
              <w:t>Rooij</w:t>
            </w:r>
            <w:proofErr w:type="spellEnd"/>
            <w:r w:rsidRPr="003A7A7F">
              <w:rPr>
                <w:rFonts w:ascii="TheSansOffice" w:hAnsi="TheSansOffice" w:cs="Arial"/>
                <w:lang w:val="en-US"/>
              </w:rPr>
              <w:t xml:space="preserve"> R et al. Safety analysis of holmium-166 micro-sphere scout dose imaging during </w:t>
            </w:r>
            <w:proofErr w:type="spellStart"/>
            <w:r w:rsidRPr="003A7A7F">
              <w:rPr>
                <w:rFonts w:ascii="TheSansOffice" w:hAnsi="TheSansOffice" w:cs="Arial"/>
                <w:lang w:val="en-US"/>
              </w:rPr>
              <w:t>radioembolisation</w:t>
            </w:r>
            <w:proofErr w:type="spellEnd"/>
            <w:r w:rsidRPr="003A7A7F">
              <w:rPr>
                <w:rFonts w:ascii="TheSansOffice" w:hAnsi="TheSansOffice" w:cs="Arial"/>
                <w:lang w:val="en-US"/>
              </w:rPr>
              <w:t xml:space="preserve"> work-up: A cohort study. </w:t>
            </w:r>
            <w:proofErr w:type="spellStart"/>
            <w:r w:rsidRPr="003A7A7F">
              <w:rPr>
                <w:rFonts w:ascii="TheSansOffice" w:hAnsi="TheSansOffice" w:cs="Arial"/>
                <w:lang w:val="en-US"/>
              </w:rPr>
              <w:t>Eur</w:t>
            </w:r>
            <w:proofErr w:type="spellEnd"/>
            <w:r w:rsidRPr="003A7A7F">
              <w:rPr>
                <w:rFonts w:ascii="TheSansOffice" w:hAnsi="TheSansOffice" w:cs="Arial"/>
                <w:lang w:val="en-US"/>
              </w:rPr>
              <w:t xml:space="preserve"> </w:t>
            </w:r>
            <w:proofErr w:type="spellStart"/>
            <w:r w:rsidRPr="003A7A7F">
              <w:rPr>
                <w:rFonts w:ascii="TheSansOffice" w:hAnsi="TheSansOffice" w:cs="Arial"/>
                <w:lang w:val="en-US"/>
              </w:rPr>
              <w:t>Radiol</w:t>
            </w:r>
            <w:proofErr w:type="spellEnd"/>
            <w:r w:rsidRPr="003A7A7F">
              <w:rPr>
                <w:rFonts w:ascii="TheSansOffice" w:hAnsi="TheSansOffice" w:cs="Arial"/>
                <w:lang w:val="en-US"/>
              </w:rPr>
              <w:t>; DOI: 10.1007/s00330-017-4998-2</w:t>
            </w:r>
          </w:p>
          <w:p w14:paraId="37690C50" w14:textId="41548919" w:rsidR="003A7A7F" w:rsidRDefault="001712B2" w:rsidP="000A544B">
            <w:pPr>
              <w:rPr>
                <w:rFonts w:ascii="TheSansOffice" w:hAnsi="TheSansOffice" w:cs="Arial"/>
                <w:lang w:val="en-US"/>
              </w:rPr>
            </w:pPr>
            <w:r w:rsidRPr="008D479D">
              <w:rPr>
                <w:rFonts w:ascii="TheSansOffice" w:hAnsi="TheSansOffice" w:cs="Arial"/>
                <w:lang w:val="en-US"/>
              </w:rPr>
              <w:t>[3]</w:t>
            </w:r>
            <w:r>
              <w:rPr>
                <w:rFonts w:ascii="TheSansOffice" w:hAnsi="TheSansOffice" w:cs="Arial"/>
                <w:lang w:val="en-US"/>
              </w:rPr>
              <w:t xml:space="preserve"> </w:t>
            </w:r>
            <w:r w:rsidRPr="001712B2">
              <w:rPr>
                <w:rFonts w:ascii="TheSansOffice" w:hAnsi="TheSansOffice" w:cs="Arial"/>
                <w:lang w:val="en-US"/>
              </w:rPr>
              <w:t xml:space="preserve">van de Maat, </w:t>
            </w:r>
            <w:proofErr w:type="spellStart"/>
            <w:r w:rsidRPr="001712B2">
              <w:rPr>
                <w:rFonts w:ascii="TheSansOffice" w:hAnsi="TheSansOffice" w:cs="Arial"/>
                <w:lang w:val="en-US"/>
              </w:rPr>
              <w:t>Gerrit</w:t>
            </w:r>
            <w:proofErr w:type="spellEnd"/>
            <w:r w:rsidRPr="001712B2">
              <w:rPr>
                <w:rFonts w:ascii="TheSansOffice" w:hAnsi="TheSansOffice" w:cs="Arial"/>
                <w:lang w:val="en-US"/>
              </w:rPr>
              <w:t xml:space="preserve"> H, </w:t>
            </w:r>
            <w:proofErr w:type="spellStart"/>
            <w:r w:rsidRPr="001712B2">
              <w:rPr>
                <w:rFonts w:ascii="TheSansOffice" w:hAnsi="TheSansOffice" w:cs="Arial"/>
                <w:lang w:val="en-US"/>
              </w:rPr>
              <w:t>Seevinck</w:t>
            </w:r>
            <w:proofErr w:type="spellEnd"/>
            <w:r w:rsidRPr="001712B2">
              <w:rPr>
                <w:rFonts w:ascii="TheSansOffice" w:hAnsi="TheSansOffice" w:cs="Arial"/>
                <w:lang w:val="en-US"/>
              </w:rPr>
              <w:t xml:space="preserve"> PR, </w:t>
            </w:r>
            <w:proofErr w:type="spellStart"/>
            <w:r w:rsidRPr="001712B2">
              <w:rPr>
                <w:rFonts w:ascii="TheSansOffice" w:hAnsi="TheSansOffice" w:cs="Arial"/>
                <w:lang w:val="en-US"/>
              </w:rPr>
              <w:t>Elschot</w:t>
            </w:r>
            <w:proofErr w:type="spellEnd"/>
            <w:r w:rsidRPr="001712B2">
              <w:rPr>
                <w:rFonts w:ascii="TheSansOffice" w:hAnsi="TheSansOffice" w:cs="Arial"/>
                <w:lang w:val="en-US"/>
              </w:rPr>
              <w:t xml:space="preserve"> M et al. MRI-based </w:t>
            </w:r>
            <w:proofErr w:type="spellStart"/>
            <w:r w:rsidRPr="001712B2">
              <w:rPr>
                <w:rFonts w:ascii="TheSansOffice" w:hAnsi="TheSansOffice" w:cs="Arial"/>
                <w:lang w:val="en-US"/>
              </w:rPr>
              <w:t>biodistribution</w:t>
            </w:r>
            <w:proofErr w:type="spellEnd"/>
            <w:r w:rsidRPr="001712B2">
              <w:rPr>
                <w:rFonts w:ascii="TheSansOffice" w:hAnsi="TheSansOffice" w:cs="Arial"/>
                <w:lang w:val="en-US"/>
              </w:rPr>
              <w:t xml:space="preserve"> assessment of holmium-166 poly(L-lactic acid) microspheres after </w:t>
            </w:r>
            <w:proofErr w:type="spellStart"/>
            <w:r w:rsidRPr="001712B2">
              <w:rPr>
                <w:rFonts w:ascii="TheSansOffice" w:hAnsi="TheSansOffice" w:cs="Arial"/>
                <w:lang w:val="en-US"/>
              </w:rPr>
              <w:t>radioembolisation</w:t>
            </w:r>
            <w:proofErr w:type="spellEnd"/>
            <w:r w:rsidRPr="001712B2">
              <w:rPr>
                <w:rFonts w:ascii="TheSansOffice" w:hAnsi="TheSansOffice" w:cs="Arial"/>
                <w:lang w:val="en-US"/>
              </w:rPr>
              <w:t xml:space="preserve">. </w:t>
            </w:r>
            <w:proofErr w:type="spellStart"/>
            <w:r w:rsidRPr="001712B2">
              <w:rPr>
                <w:rFonts w:ascii="TheSansOffice" w:hAnsi="TheSansOffice" w:cs="Arial"/>
                <w:lang w:val="en-US"/>
              </w:rPr>
              <w:t>Eur</w:t>
            </w:r>
            <w:proofErr w:type="spellEnd"/>
            <w:r w:rsidRPr="001712B2">
              <w:rPr>
                <w:rFonts w:ascii="TheSansOffice" w:hAnsi="TheSansOffice" w:cs="Arial"/>
                <w:lang w:val="en-US"/>
              </w:rPr>
              <w:t xml:space="preserve"> </w:t>
            </w:r>
            <w:proofErr w:type="spellStart"/>
            <w:r w:rsidRPr="001712B2">
              <w:rPr>
                <w:rFonts w:ascii="TheSansOffice" w:hAnsi="TheSansOffice" w:cs="Arial"/>
                <w:lang w:val="en-US"/>
              </w:rPr>
              <w:t>Radiol</w:t>
            </w:r>
            <w:proofErr w:type="spellEnd"/>
            <w:r w:rsidRPr="001712B2">
              <w:rPr>
                <w:rFonts w:ascii="TheSansOffice" w:hAnsi="TheSansOffice" w:cs="Arial"/>
                <w:lang w:val="en-US"/>
              </w:rPr>
              <w:t>; DOI: 10.1007/s00330-012-2648-2</w:t>
            </w:r>
          </w:p>
          <w:p w14:paraId="6488610E" w14:textId="3D51F4E3" w:rsidR="00AD26EF" w:rsidRPr="00AD26EF" w:rsidRDefault="00AD26EF" w:rsidP="000A544B">
            <w:pPr>
              <w:rPr>
                <w:rFonts w:ascii="TheSansOffice" w:hAnsi="TheSansOffice" w:cs="Arial"/>
                <w:color w:val="C0504D" w:themeColor="accent2"/>
              </w:rPr>
            </w:pPr>
            <w:r>
              <w:rPr>
                <w:rFonts w:ascii="TheSansOffice" w:hAnsi="TheSansOffice" w:cs="Arial"/>
                <w:lang w:val="en-US"/>
              </w:rPr>
              <w:t>[4</w:t>
            </w:r>
            <w:r w:rsidRPr="008D479D">
              <w:rPr>
                <w:rFonts w:ascii="TheSansOffice" w:hAnsi="TheSansOffice" w:cs="Arial"/>
                <w:lang w:val="en-US"/>
              </w:rPr>
              <w:t>]</w:t>
            </w:r>
            <w:r>
              <w:rPr>
                <w:rFonts w:ascii="TheSansOffice" w:hAnsi="TheSansOffice" w:cs="Arial"/>
                <w:lang w:val="en-US"/>
              </w:rPr>
              <w:t xml:space="preserve"> </w:t>
            </w:r>
            <w:r w:rsidRPr="00AD26EF">
              <w:rPr>
                <w:rFonts w:ascii="TheSansOffice" w:hAnsi="TheSansOffice" w:cs="Arial"/>
                <w:lang w:val="en-US"/>
              </w:rPr>
              <w:t xml:space="preserve">Smits M.L.J., </w:t>
            </w:r>
            <w:proofErr w:type="spellStart"/>
            <w:r w:rsidRPr="00AD26EF">
              <w:rPr>
                <w:rFonts w:ascii="TheSansOffice" w:hAnsi="TheSansOffice" w:cs="Arial"/>
                <w:lang w:val="en-US"/>
              </w:rPr>
              <w:t>Nijsen</w:t>
            </w:r>
            <w:proofErr w:type="spellEnd"/>
            <w:r w:rsidRPr="00AD26EF">
              <w:rPr>
                <w:rFonts w:ascii="TheSansOffice" w:hAnsi="TheSansOffice" w:cs="Arial"/>
                <w:lang w:val="en-US"/>
              </w:rPr>
              <w:t xml:space="preserve">, J.F.W., van den Bosch, </w:t>
            </w:r>
            <w:proofErr w:type="gramStart"/>
            <w:r w:rsidRPr="00AD26EF">
              <w:rPr>
                <w:rFonts w:ascii="TheSansOffice" w:hAnsi="TheSansOffice" w:cs="Arial"/>
                <w:lang w:val="en-US"/>
              </w:rPr>
              <w:t>M.A.A.J. ,et</w:t>
            </w:r>
            <w:proofErr w:type="gramEnd"/>
            <w:r w:rsidRPr="00AD26EF">
              <w:rPr>
                <w:rFonts w:ascii="TheSansOffice" w:hAnsi="TheSansOffice" w:cs="Arial"/>
                <w:lang w:val="en-US"/>
              </w:rPr>
              <w:t xml:space="preserve"> al. Holmium-166 </w:t>
            </w:r>
            <w:proofErr w:type="spellStart"/>
            <w:r w:rsidRPr="00AD26EF">
              <w:rPr>
                <w:rFonts w:ascii="TheSansOffice" w:hAnsi="TheSansOffice" w:cs="Arial"/>
                <w:lang w:val="en-US"/>
              </w:rPr>
              <w:t>radioemboliza-tion</w:t>
            </w:r>
            <w:proofErr w:type="spellEnd"/>
            <w:r w:rsidRPr="00AD26EF">
              <w:rPr>
                <w:rFonts w:ascii="TheSansOffice" w:hAnsi="TheSansOffice" w:cs="Arial"/>
                <w:lang w:val="en-US"/>
              </w:rPr>
              <w:t xml:space="preserve">: results of a phase 1, dose escalation study in </w:t>
            </w:r>
            <w:proofErr w:type="spellStart"/>
            <w:r w:rsidRPr="00AD26EF">
              <w:rPr>
                <w:rFonts w:ascii="TheSansOffice" w:hAnsi="TheSansOffice" w:cs="Arial"/>
                <w:lang w:val="en-US"/>
              </w:rPr>
              <w:t>patinets</w:t>
            </w:r>
            <w:proofErr w:type="spellEnd"/>
            <w:r w:rsidRPr="00AD26EF">
              <w:rPr>
                <w:rFonts w:ascii="TheSansOffice" w:hAnsi="TheSansOffice" w:cs="Arial"/>
                <w:lang w:val="en-US"/>
              </w:rPr>
              <w:t xml:space="preserve"> with </w:t>
            </w:r>
            <w:proofErr w:type="spellStart"/>
            <w:r w:rsidRPr="00AD26EF">
              <w:rPr>
                <w:rFonts w:ascii="TheSansOffice" w:hAnsi="TheSansOffice" w:cs="Arial"/>
                <w:lang w:val="en-US"/>
              </w:rPr>
              <w:t>unresectable</w:t>
            </w:r>
            <w:proofErr w:type="spellEnd"/>
            <w:r w:rsidRPr="00AD26EF">
              <w:rPr>
                <w:rFonts w:ascii="TheSansOffice" w:hAnsi="TheSansOffice" w:cs="Arial"/>
                <w:lang w:val="en-US"/>
              </w:rPr>
              <w:t xml:space="preserve">, </w:t>
            </w:r>
            <w:proofErr w:type="spellStart"/>
            <w:r w:rsidRPr="00AD26EF">
              <w:rPr>
                <w:rFonts w:ascii="TheSansOffice" w:hAnsi="TheSansOffice" w:cs="Arial"/>
                <w:lang w:val="en-US"/>
              </w:rPr>
              <w:t>chemorefracto-ry</w:t>
            </w:r>
            <w:proofErr w:type="spellEnd"/>
            <w:r w:rsidRPr="00AD26EF">
              <w:rPr>
                <w:rFonts w:ascii="TheSansOffice" w:hAnsi="TheSansOffice" w:cs="Arial"/>
                <w:lang w:val="en-US"/>
              </w:rPr>
              <w:t xml:space="preserve"> liver metastases; the HEPAR Trial. </w:t>
            </w:r>
            <w:r w:rsidRPr="00AD26EF">
              <w:rPr>
                <w:rFonts w:ascii="TheSansOffice" w:hAnsi="TheSansOffice" w:cs="Arial"/>
              </w:rPr>
              <w:t xml:space="preserve">Lancet </w:t>
            </w:r>
            <w:proofErr w:type="spellStart"/>
            <w:r w:rsidRPr="00AD26EF">
              <w:rPr>
                <w:rFonts w:ascii="TheSansOffice" w:hAnsi="TheSansOffice" w:cs="Arial"/>
              </w:rPr>
              <w:t>Oncology</w:t>
            </w:r>
            <w:proofErr w:type="spellEnd"/>
            <w:r w:rsidRPr="00AD26EF">
              <w:rPr>
                <w:rFonts w:ascii="TheSansOffice" w:hAnsi="TheSansOffice" w:cs="Arial"/>
              </w:rPr>
              <w:t>; 2012</w:t>
            </w:r>
          </w:p>
          <w:p w14:paraId="21B99B73" w14:textId="5947BC59" w:rsidR="001712B2" w:rsidRPr="00AD26EF" w:rsidRDefault="00AD26EF" w:rsidP="000A544B">
            <w:pPr>
              <w:rPr>
                <w:rFonts w:ascii="TheSansOffice" w:hAnsi="TheSansOffice" w:cs="Arial"/>
                <w:color w:val="C0504D" w:themeColor="accent2"/>
              </w:rPr>
            </w:pPr>
            <w:r w:rsidRPr="00AD26EF">
              <w:rPr>
                <w:rFonts w:ascii="TheSansOffice" w:hAnsi="TheSansOffice" w:cs="Arial"/>
              </w:rPr>
              <w:t>[5] Schmitz A. Die selektive interne Radiotherapie (SIRT): Eine Behandlungsoption für nicht-</w:t>
            </w:r>
            <w:proofErr w:type="spellStart"/>
            <w:r w:rsidRPr="00AD26EF">
              <w:rPr>
                <w:rFonts w:ascii="TheSansOffice" w:hAnsi="TheSansOffice" w:cs="Arial"/>
              </w:rPr>
              <w:t>resezierbare</w:t>
            </w:r>
            <w:proofErr w:type="spellEnd"/>
            <w:r w:rsidRPr="00AD26EF">
              <w:rPr>
                <w:rFonts w:ascii="TheSansOffice" w:hAnsi="TheSansOffice" w:cs="Arial"/>
              </w:rPr>
              <w:t>, therapierefraktäre Lebermalignome. Im Internet: edoc.ub.uni-muenchen.de/9727/</w:t>
            </w:r>
          </w:p>
          <w:p w14:paraId="4F63A649" w14:textId="77777777" w:rsidR="000A544B" w:rsidRPr="00BB07EF" w:rsidRDefault="00AD26EF" w:rsidP="001712B2">
            <w:pPr>
              <w:rPr>
                <w:rFonts w:ascii="TheSansOffice" w:hAnsi="TheSansOffice" w:cs="Arial"/>
                <w:lang w:val="en-US"/>
              </w:rPr>
            </w:pPr>
            <w:r w:rsidRPr="00AD26EF">
              <w:rPr>
                <w:rFonts w:ascii="TheSansOffice" w:hAnsi="TheSansOffice" w:cs="Arial"/>
              </w:rPr>
              <w:t xml:space="preserve">[6] Prince JF, van den Bosch, Maurice A </w:t>
            </w:r>
            <w:proofErr w:type="spellStart"/>
            <w:r w:rsidRPr="00AD26EF">
              <w:rPr>
                <w:rFonts w:ascii="TheSansOffice" w:hAnsi="TheSansOffice" w:cs="Arial"/>
              </w:rPr>
              <w:t>A</w:t>
            </w:r>
            <w:proofErr w:type="spellEnd"/>
            <w:r w:rsidRPr="00AD26EF">
              <w:rPr>
                <w:rFonts w:ascii="TheSansOffice" w:hAnsi="TheSansOffice" w:cs="Arial"/>
              </w:rPr>
              <w:t xml:space="preserve"> J, </w:t>
            </w:r>
            <w:proofErr w:type="spellStart"/>
            <w:r w:rsidRPr="00AD26EF">
              <w:rPr>
                <w:rFonts w:ascii="TheSansOffice" w:hAnsi="TheSansOffice" w:cs="Arial"/>
              </w:rPr>
              <w:t>Nijsen</w:t>
            </w:r>
            <w:proofErr w:type="spellEnd"/>
            <w:r w:rsidRPr="00AD26EF">
              <w:rPr>
                <w:rFonts w:ascii="TheSansOffice" w:hAnsi="TheSansOffice" w:cs="Arial"/>
              </w:rPr>
              <w:t xml:space="preserve">, J F W et al. </w:t>
            </w:r>
            <w:r w:rsidRPr="00AD26EF">
              <w:rPr>
                <w:rFonts w:ascii="TheSansOffice" w:hAnsi="TheSansOffice" w:cs="Arial"/>
                <w:lang w:val="en-US"/>
              </w:rPr>
              <w:t xml:space="preserve">Efficacy of </w:t>
            </w:r>
            <w:proofErr w:type="spellStart"/>
            <w:r w:rsidRPr="00AD26EF">
              <w:rPr>
                <w:rFonts w:ascii="TheSansOffice" w:hAnsi="TheSansOffice" w:cs="Arial"/>
                <w:lang w:val="en-US"/>
              </w:rPr>
              <w:t>radioembolization</w:t>
            </w:r>
            <w:proofErr w:type="spellEnd"/>
            <w:r w:rsidRPr="00AD26EF">
              <w:rPr>
                <w:rFonts w:ascii="TheSansOffice" w:hAnsi="TheSansOffice" w:cs="Arial"/>
                <w:lang w:val="en-US"/>
              </w:rPr>
              <w:t xml:space="preserve"> with holmium-166 microspheres in salvage patients with liver </w:t>
            </w:r>
            <w:r w:rsidRPr="00BB07EF">
              <w:rPr>
                <w:rFonts w:ascii="TheSansOffice" w:hAnsi="TheSansOffice" w:cs="Arial"/>
                <w:lang w:val="en-US"/>
              </w:rPr>
              <w:t xml:space="preserve">metastases: a phase 2 study. J </w:t>
            </w:r>
            <w:proofErr w:type="spellStart"/>
            <w:r w:rsidRPr="00BB07EF">
              <w:rPr>
                <w:rFonts w:ascii="TheSansOffice" w:hAnsi="TheSansOffice" w:cs="Arial"/>
                <w:lang w:val="en-US"/>
              </w:rPr>
              <w:t>Nucl</w:t>
            </w:r>
            <w:proofErr w:type="spellEnd"/>
            <w:r w:rsidRPr="00BB07EF">
              <w:rPr>
                <w:rFonts w:ascii="TheSansOffice" w:hAnsi="TheSansOffice" w:cs="Arial"/>
                <w:lang w:val="en-US"/>
              </w:rPr>
              <w:t xml:space="preserve"> Med; DOI: 10.2967/jnumed.117.197194</w:t>
            </w:r>
          </w:p>
          <w:p w14:paraId="12151CCA" w14:textId="3F347001" w:rsidR="005572CF" w:rsidRPr="00BB07EF" w:rsidRDefault="005572CF" w:rsidP="00C1159C">
            <w:pPr>
              <w:rPr>
                <w:rFonts w:ascii="TheSansOffice" w:hAnsi="TheSansOffice" w:cs="Arial"/>
                <w:lang w:val="en-US"/>
              </w:rPr>
            </w:pPr>
            <w:r w:rsidRPr="00BB07EF">
              <w:rPr>
                <w:rFonts w:ascii="TheSansOffice" w:hAnsi="TheSansOffice" w:cs="Arial"/>
                <w:lang w:val="en-US"/>
              </w:rPr>
              <w:t xml:space="preserve">[7] </w:t>
            </w:r>
            <w:proofErr w:type="spellStart"/>
            <w:r w:rsidR="00C1159C" w:rsidRPr="00B230BA">
              <w:rPr>
                <w:rFonts w:ascii="TheSansOffice" w:hAnsi="TheSansOffice" w:cs="Arial"/>
                <w:lang w:val="en-US"/>
              </w:rPr>
              <w:t>Bra</w:t>
            </w:r>
            <w:r w:rsidR="00C1159C">
              <w:rPr>
                <w:rFonts w:ascii="TheSansOffice" w:hAnsi="TheSansOffice" w:cs="Arial"/>
                <w:lang w:val="en-US"/>
              </w:rPr>
              <w:t>at</w:t>
            </w:r>
            <w:proofErr w:type="spellEnd"/>
            <w:r w:rsidR="00C1159C" w:rsidRPr="00B230BA">
              <w:rPr>
                <w:rFonts w:ascii="TheSansOffice" w:hAnsi="TheSansOffice" w:cs="Arial"/>
                <w:lang w:val="en-US"/>
              </w:rPr>
              <w:t xml:space="preserve"> </w:t>
            </w:r>
            <w:r w:rsidR="00BA12BE" w:rsidRPr="00B230BA">
              <w:rPr>
                <w:rFonts w:ascii="TheSansOffice" w:hAnsi="TheSansOffice" w:cs="Arial"/>
                <w:lang w:val="en-US"/>
              </w:rPr>
              <w:t>A.J.A.T.</w:t>
            </w:r>
            <w:r w:rsidR="00C1159C">
              <w:rPr>
                <w:rFonts w:ascii="TheSansOffice" w:hAnsi="TheSansOffice" w:cs="Arial"/>
                <w:lang w:val="en-US"/>
              </w:rPr>
              <w:t xml:space="preserve">, Prince J.F., van </w:t>
            </w:r>
            <w:proofErr w:type="spellStart"/>
            <w:r w:rsidR="00C1159C">
              <w:rPr>
                <w:rFonts w:ascii="TheSansOffice" w:hAnsi="TheSansOffice" w:cs="Arial"/>
                <w:lang w:val="en-US"/>
              </w:rPr>
              <w:t>Rooij</w:t>
            </w:r>
            <w:proofErr w:type="spellEnd"/>
            <w:r w:rsidR="00C1159C">
              <w:rPr>
                <w:rFonts w:ascii="TheSansOffice" w:hAnsi="TheSansOffice" w:cs="Arial"/>
                <w:lang w:val="en-US"/>
              </w:rPr>
              <w:t xml:space="preserve"> R., </w:t>
            </w:r>
            <w:r w:rsidR="00C1159C" w:rsidRPr="00B230BA">
              <w:rPr>
                <w:rFonts w:ascii="TheSansOffice" w:hAnsi="TheSansOffice" w:cs="Arial"/>
                <w:lang w:val="en-US"/>
              </w:rPr>
              <w:t xml:space="preserve">van den Bosch </w:t>
            </w:r>
            <w:r w:rsidR="00BA12BE" w:rsidRPr="00B230BA">
              <w:rPr>
                <w:rFonts w:ascii="TheSansOffice" w:hAnsi="TheSansOffice" w:cs="Arial"/>
                <w:lang w:val="en-US"/>
              </w:rPr>
              <w:t xml:space="preserve">M.A.A.J., </w:t>
            </w:r>
            <w:r w:rsidR="00C1159C" w:rsidRPr="00B230BA">
              <w:rPr>
                <w:rFonts w:ascii="TheSansOffice" w:hAnsi="TheSansOffice" w:cs="Arial"/>
                <w:lang w:val="en-US"/>
              </w:rPr>
              <w:t xml:space="preserve">Lam </w:t>
            </w:r>
            <w:r w:rsidR="00BA12BE" w:rsidRPr="00B230BA">
              <w:rPr>
                <w:rFonts w:ascii="TheSansOffice" w:hAnsi="TheSansOffice" w:cs="Arial"/>
                <w:lang w:val="en-US"/>
              </w:rPr>
              <w:t xml:space="preserve">M.G.E.H. </w:t>
            </w:r>
            <w:r w:rsidRPr="00B230BA">
              <w:rPr>
                <w:rFonts w:ascii="TheSansOffice" w:hAnsi="TheSansOffice" w:cs="Arial"/>
                <w:lang w:val="en-US"/>
              </w:rPr>
              <w:t xml:space="preserve">Safety of holmium-166 microsphere scout dose during </w:t>
            </w:r>
            <w:proofErr w:type="spellStart"/>
            <w:r w:rsidRPr="00B230BA">
              <w:rPr>
                <w:rFonts w:ascii="TheSansOffice" w:hAnsi="TheSansOffice" w:cs="Arial"/>
                <w:lang w:val="en-US"/>
              </w:rPr>
              <w:t>radioembolization</w:t>
            </w:r>
            <w:proofErr w:type="spellEnd"/>
            <w:r w:rsidRPr="00B230BA">
              <w:rPr>
                <w:rFonts w:ascii="TheSansOffice" w:hAnsi="TheSansOffice" w:cs="Arial"/>
                <w:lang w:val="en-US"/>
              </w:rPr>
              <w:t xml:space="preserve"> work-up</w:t>
            </w:r>
            <w:r w:rsidR="00BA12BE">
              <w:rPr>
                <w:rFonts w:ascii="TheSansOffice" w:hAnsi="TheSansOffice" w:cs="Arial"/>
                <w:lang w:val="en-US"/>
              </w:rPr>
              <w:t xml:space="preserve">. </w:t>
            </w:r>
            <w:r w:rsidRPr="00B230BA">
              <w:rPr>
                <w:rFonts w:ascii="TheSansOffice" w:hAnsi="TheSansOffice" w:cs="Arial"/>
                <w:lang w:val="en-US"/>
              </w:rPr>
              <w:t>Radiology and Nuclear Medicine, University Medical Center Utrecht, Utrecht, NL Free Paper Session 2 1902.1;</w:t>
            </w:r>
            <w:r w:rsidR="00C1159C">
              <w:rPr>
                <w:rFonts w:ascii="TheSansOffice" w:hAnsi="TheSansOffice" w:cs="Arial"/>
                <w:lang w:val="en-US"/>
              </w:rPr>
              <w:br/>
            </w:r>
            <w:r w:rsidR="00C1159C" w:rsidRPr="00C1159C">
              <w:rPr>
                <w:rFonts w:ascii="TheSansOffice" w:hAnsi="TheSansOffice" w:cs="Arial"/>
                <w:lang w:val="en-US"/>
              </w:rPr>
              <w:t>https://cpaper.ctimeetingtech.com/mediafiles/ecio_2018/email/ecio2018_BoA_prod.pdf</w:t>
            </w:r>
            <w:r w:rsidR="00BA12BE" w:rsidRPr="00BA12BE">
              <w:rPr>
                <w:rFonts w:ascii="TheSansOffice" w:hAnsi="TheSansOffice" w:cs="Arial"/>
                <w:lang w:val="en-US"/>
              </w:rPr>
              <w:t xml:space="preserve"> </w:t>
            </w:r>
          </w:p>
        </w:tc>
      </w:tr>
      <w:tr w:rsidR="000A544B" w:rsidRPr="00484A24" w14:paraId="1B47D4A5" w14:textId="77777777" w:rsidTr="00C8220C">
        <w:tc>
          <w:tcPr>
            <w:tcW w:w="9062" w:type="dxa"/>
            <w:gridSpan w:val="2"/>
            <w:shd w:val="clear" w:color="auto" w:fill="DAEEF3" w:themeFill="accent5" w:themeFillTint="33"/>
          </w:tcPr>
          <w:p w14:paraId="07C492FE" w14:textId="77777777" w:rsidR="000A544B" w:rsidRPr="00484A24" w:rsidRDefault="000A544B" w:rsidP="000A544B">
            <w:pPr>
              <w:rPr>
                <w:rFonts w:ascii="TheSansOffice" w:hAnsi="TheSansOffice" w:cs="Arial"/>
                <w:b/>
                <w:bCs/>
              </w:rPr>
            </w:pPr>
            <w:r w:rsidRPr="00484A24">
              <w:rPr>
                <w:rFonts w:ascii="TheSansOffice" w:hAnsi="TheSansOffice" w:cs="Arial"/>
                <w:b/>
                <w:bCs/>
              </w:rPr>
              <w:lastRenderedPageBreak/>
              <w:t>Mit welchem OPS wird die Methode verschlüsselt?</w:t>
            </w:r>
            <w:r>
              <w:rPr>
                <w:rFonts w:ascii="TheSansOffice" w:hAnsi="TheSansOffice" w:cs="Arial"/>
                <w:b/>
                <w:bCs/>
              </w:rPr>
              <w:t xml:space="preserve"> (Nur OPS)</w:t>
            </w:r>
          </w:p>
        </w:tc>
      </w:tr>
      <w:tr w:rsidR="000A544B" w:rsidRPr="00484A24" w14:paraId="27A9E691" w14:textId="77777777" w:rsidTr="00C8220C">
        <w:tc>
          <w:tcPr>
            <w:tcW w:w="9062" w:type="dxa"/>
            <w:gridSpan w:val="2"/>
            <w:shd w:val="clear" w:color="auto" w:fill="auto"/>
          </w:tcPr>
          <w:p w14:paraId="2DB58486" w14:textId="77777777" w:rsidR="000A544B" w:rsidRPr="00484A24" w:rsidRDefault="0012454C" w:rsidP="000A544B">
            <w:pPr>
              <w:rPr>
                <w:rFonts w:ascii="TheSansOffice" w:hAnsi="TheSansOffice" w:cs="Arial"/>
              </w:rPr>
            </w:pPr>
            <w:r>
              <w:rPr>
                <w:rFonts w:ascii="TheSansOffice" w:hAnsi="TheSansOffice" w:cs="Arial"/>
              </w:rPr>
              <w:t>8-53</w:t>
            </w:r>
            <w:r w:rsidRPr="00FE1CEC">
              <w:rPr>
                <w:rFonts w:ascii="TheSansOffice" w:hAnsi="TheSansOffice" w:cs="Arial"/>
              </w:rPr>
              <w:t>0.a8</w:t>
            </w:r>
          </w:p>
        </w:tc>
      </w:tr>
      <w:tr w:rsidR="000A544B" w:rsidRPr="00484A24" w14:paraId="4388EE65" w14:textId="77777777" w:rsidTr="003C4BF0">
        <w:tc>
          <w:tcPr>
            <w:tcW w:w="9062" w:type="dxa"/>
            <w:gridSpan w:val="2"/>
            <w:shd w:val="clear" w:color="auto" w:fill="DAEEF3" w:themeFill="accent5" w:themeFillTint="33"/>
          </w:tcPr>
          <w:p w14:paraId="3BFF1301" w14:textId="77777777" w:rsidR="000A544B" w:rsidRPr="00484A24" w:rsidRDefault="000A544B" w:rsidP="000A544B">
            <w:pPr>
              <w:tabs>
                <w:tab w:val="num" w:pos="-3060"/>
              </w:tabs>
              <w:rPr>
                <w:rFonts w:ascii="TheSansOffice" w:hAnsi="TheSansOffice" w:cs="Arial"/>
              </w:rPr>
            </w:pPr>
            <w:r w:rsidRPr="000D02A9">
              <w:rPr>
                <w:rFonts w:ascii="TheSansOffice" w:hAnsi="TheSansOffice" w:cs="Arial"/>
              </w:rPr>
              <w:t xml:space="preserve">Derzeit sind keine </w:t>
            </w:r>
            <w:proofErr w:type="spellStart"/>
            <w:r w:rsidRPr="000D02A9">
              <w:rPr>
                <w:rFonts w:ascii="TheSansOffice" w:hAnsi="TheSansOffice" w:cs="Arial"/>
              </w:rPr>
              <w:t>Prozedurencodes</w:t>
            </w:r>
            <w:proofErr w:type="spellEnd"/>
            <w:r w:rsidRPr="000D02A9">
              <w:rPr>
                <w:rFonts w:ascii="TheSansOffice" w:hAnsi="TheSansOffice" w:cs="Arial"/>
              </w:rPr>
              <w:t xml:space="preserve"> (OPS) verfügbar.</w:t>
            </w:r>
          </w:p>
        </w:tc>
      </w:tr>
      <w:tr w:rsidR="000A544B" w:rsidRPr="00484A24" w14:paraId="4D372E35" w14:textId="77777777" w:rsidTr="00C8220C">
        <w:sdt>
          <w:sdtPr>
            <w:rPr>
              <w:rFonts w:ascii="TheSansOffice" w:hAnsi="TheSansOffice" w:cs="Arial"/>
            </w:rPr>
            <w:id w:val="1461299995"/>
            <w14:checkbox>
              <w14:checked w14:val="0"/>
              <w14:checkedState w14:val="2612" w14:font="MS Gothic"/>
              <w14:uncheckedState w14:val="2610" w14:font="MS Gothic"/>
            </w14:checkbox>
          </w:sdtPr>
          <w:sdtEndPr/>
          <w:sdtContent>
            <w:tc>
              <w:tcPr>
                <w:tcW w:w="9062" w:type="dxa"/>
                <w:gridSpan w:val="2"/>
                <w:shd w:val="clear" w:color="auto" w:fill="auto"/>
              </w:tcPr>
              <w:p w14:paraId="772E7B25" w14:textId="77777777" w:rsidR="000A544B" w:rsidRPr="00484A24" w:rsidRDefault="000A544B" w:rsidP="000A544B">
                <w:pPr>
                  <w:rPr>
                    <w:rFonts w:ascii="TheSansOffice" w:hAnsi="TheSansOffice" w:cs="Arial"/>
                  </w:rPr>
                </w:pPr>
                <w:r>
                  <w:rPr>
                    <w:rFonts w:ascii="MS Gothic" w:eastAsia="MS Gothic" w:hAnsi="MS Gothic" w:cs="Arial" w:hint="eastAsia"/>
                  </w:rPr>
                  <w:t>☐</w:t>
                </w:r>
              </w:p>
            </w:tc>
          </w:sdtContent>
        </w:sdt>
      </w:tr>
      <w:tr w:rsidR="000A544B" w:rsidRPr="00484A24" w14:paraId="34F29F72" w14:textId="77777777" w:rsidTr="00C8220C">
        <w:tc>
          <w:tcPr>
            <w:tcW w:w="9062" w:type="dxa"/>
            <w:gridSpan w:val="2"/>
            <w:shd w:val="clear" w:color="auto" w:fill="DAEEF3" w:themeFill="accent5" w:themeFillTint="33"/>
          </w:tcPr>
          <w:p w14:paraId="58F47328" w14:textId="77777777" w:rsidR="000A544B" w:rsidRPr="00484A24" w:rsidRDefault="000A544B" w:rsidP="000A544B">
            <w:pPr>
              <w:tabs>
                <w:tab w:val="num" w:pos="-3060"/>
              </w:tabs>
              <w:rPr>
                <w:rFonts w:ascii="TheSansOffice" w:hAnsi="TheSansOffice" w:cs="Arial"/>
              </w:rPr>
            </w:pPr>
            <w:r>
              <w:rPr>
                <w:rFonts w:ascii="TheSansOffice" w:hAnsi="TheSansOffice" w:cs="Arial"/>
                <w:b/>
                <w:bCs/>
              </w:rPr>
              <w:t>Anmerkungen zu den Prozeduren</w:t>
            </w:r>
          </w:p>
        </w:tc>
      </w:tr>
      <w:tr w:rsidR="000A544B" w:rsidRPr="00484A24" w14:paraId="39243B5B" w14:textId="77777777" w:rsidTr="00C8220C">
        <w:tc>
          <w:tcPr>
            <w:tcW w:w="9062" w:type="dxa"/>
            <w:gridSpan w:val="2"/>
            <w:shd w:val="clear" w:color="auto" w:fill="auto"/>
          </w:tcPr>
          <w:p w14:paraId="5ADBB10E" w14:textId="09BE9CA1" w:rsidR="000A544B" w:rsidRPr="00484A24" w:rsidRDefault="000A544B" w:rsidP="000A70B1">
            <w:pPr>
              <w:tabs>
                <w:tab w:val="num" w:pos="-3060"/>
              </w:tabs>
              <w:rPr>
                <w:rFonts w:ascii="TheSansOffice" w:hAnsi="TheSansOffice" w:cs="Arial"/>
              </w:rPr>
            </w:pPr>
          </w:p>
        </w:tc>
      </w:tr>
    </w:tbl>
    <w:p w14:paraId="3E05E0A9" w14:textId="77777777" w:rsidR="00964623" w:rsidRDefault="00964623" w:rsidP="00724255">
      <w:pPr>
        <w:rPr>
          <w:rFonts w:ascii="TheSansOffice" w:hAnsi="TheSansOffice" w:cs="Arial"/>
        </w:rPr>
      </w:pPr>
    </w:p>
    <w:p w14:paraId="02887BA1" w14:textId="77777777" w:rsidR="00964623" w:rsidRDefault="00964623">
      <w:pPr>
        <w:rPr>
          <w:rFonts w:ascii="TheSansOffice" w:hAnsi="TheSansOffice" w:cs="Arial"/>
        </w:rPr>
      </w:pPr>
      <w:r>
        <w:rPr>
          <w:rFonts w:ascii="TheSansOffice" w:hAnsi="TheSansOffice"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D0274" w:rsidRPr="00484A24" w14:paraId="747188AD" w14:textId="77777777" w:rsidTr="00C8220C">
        <w:trPr>
          <w:trHeight w:val="234"/>
        </w:trPr>
        <w:tc>
          <w:tcPr>
            <w:tcW w:w="9062" w:type="dxa"/>
            <w:shd w:val="clear" w:color="auto" w:fill="DAEEF3" w:themeFill="accent5" w:themeFillTint="33"/>
          </w:tcPr>
          <w:p w14:paraId="48FB86DC" w14:textId="77777777" w:rsidR="005D0274" w:rsidRPr="00484A24" w:rsidRDefault="005D0274" w:rsidP="00724255">
            <w:pPr>
              <w:rPr>
                <w:rFonts w:ascii="TheSansOffice" w:hAnsi="TheSansOffice" w:cs="Arial"/>
                <w:b/>
                <w:bCs/>
              </w:rPr>
            </w:pPr>
            <w:r w:rsidRPr="00484A24">
              <w:rPr>
                <w:rFonts w:ascii="TheSansOffice" w:hAnsi="TheSansOffice" w:cs="Arial"/>
                <w:b/>
                <w:bCs/>
                <w:sz w:val="32"/>
              </w:rPr>
              <w:lastRenderedPageBreak/>
              <w:t>Methodendetails</w:t>
            </w:r>
          </w:p>
        </w:tc>
      </w:tr>
      <w:tr w:rsidR="005D0274" w:rsidRPr="00484A24" w14:paraId="75EF8543" w14:textId="77777777" w:rsidTr="00C8220C">
        <w:trPr>
          <w:trHeight w:val="234"/>
        </w:trPr>
        <w:tc>
          <w:tcPr>
            <w:tcW w:w="9062" w:type="dxa"/>
            <w:shd w:val="clear" w:color="auto" w:fill="DAEEF3" w:themeFill="accent5" w:themeFillTint="33"/>
          </w:tcPr>
          <w:p w14:paraId="42955520" w14:textId="77777777" w:rsidR="005D0274" w:rsidRPr="00484A24" w:rsidRDefault="005D0274" w:rsidP="00724255">
            <w:pPr>
              <w:rPr>
                <w:rFonts w:ascii="TheSansOffice" w:hAnsi="TheSansOffice" w:cs="Arial"/>
                <w:b/>
                <w:bCs/>
              </w:rPr>
            </w:pPr>
            <w:r w:rsidRPr="00484A24">
              <w:rPr>
                <w:rFonts w:ascii="TheSansOffice" w:hAnsi="TheSansOffice" w:cs="Arial"/>
                <w:b/>
                <w:bCs/>
              </w:rPr>
              <w:t>Bei welchem Patienten wird die Methode angewandt (Indikation)? *</w:t>
            </w:r>
          </w:p>
        </w:tc>
      </w:tr>
      <w:tr w:rsidR="005D0274" w:rsidRPr="00484A24" w14:paraId="068D5D36" w14:textId="77777777" w:rsidTr="00C8220C">
        <w:trPr>
          <w:trHeight w:val="234"/>
        </w:trPr>
        <w:tc>
          <w:tcPr>
            <w:tcW w:w="9062" w:type="dxa"/>
            <w:shd w:val="clear" w:color="auto" w:fill="auto"/>
          </w:tcPr>
          <w:p w14:paraId="00D856FA" w14:textId="6DDB4DA2" w:rsidR="005D0274" w:rsidRPr="000A6E79" w:rsidRDefault="00D9627F" w:rsidP="00724255">
            <w:pPr>
              <w:rPr>
                <w:rFonts w:ascii="TheSansOffice" w:hAnsi="TheSansOffice" w:cs="Arial"/>
              </w:rPr>
            </w:pPr>
            <w:r w:rsidRPr="00D9627F">
              <w:rPr>
                <w:rFonts w:ascii="TheSansOffice" w:hAnsi="TheSansOffice" w:cs="Arial"/>
              </w:rPr>
              <w:t>SIRT mit Holmium-166 ist für die Behandlung fortgeschrittener inoperabler Lebertumoren</w:t>
            </w:r>
            <w:r w:rsidR="00740309">
              <w:rPr>
                <w:rFonts w:ascii="TheSansOffice" w:hAnsi="TheSansOffice" w:cs="Arial"/>
              </w:rPr>
              <w:t xml:space="preserve"> C22.* und Lebermetastasen C78.7</w:t>
            </w:r>
            <w:r w:rsidRPr="00D9627F">
              <w:rPr>
                <w:rFonts w:ascii="TheSansOffice" w:hAnsi="TheSansOffice" w:cs="Arial"/>
              </w:rPr>
              <w:t xml:space="preserve"> bestimmt.</w:t>
            </w:r>
          </w:p>
        </w:tc>
      </w:tr>
      <w:tr w:rsidR="00724255" w:rsidRPr="00484A24" w14:paraId="6CDA6039" w14:textId="77777777" w:rsidTr="00C8220C">
        <w:trPr>
          <w:trHeight w:val="234"/>
        </w:trPr>
        <w:tc>
          <w:tcPr>
            <w:tcW w:w="9062" w:type="dxa"/>
            <w:shd w:val="clear" w:color="auto" w:fill="DAEEF3" w:themeFill="accent5" w:themeFillTint="33"/>
          </w:tcPr>
          <w:p w14:paraId="783D906B" w14:textId="77777777" w:rsidR="00F41CBC" w:rsidRPr="00484A24" w:rsidRDefault="00724255" w:rsidP="005D0274">
            <w:pPr>
              <w:rPr>
                <w:rFonts w:ascii="TheSansOffice" w:hAnsi="TheSansOffice" w:cs="Arial"/>
                <w:b/>
                <w:bCs/>
              </w:rPr>
            </w:pPr>
            <w:r w:rsidRPr="00484A24">
              <w:rPr>
                <w:rFonts w:ascii="TheSansOffice" w:hAnsi="TheSansOffice" w:cs="Arial"/>
                <w:b/>
                <w:bCs/>
              </w:rPr>
              <w:t>Welche bestehende Methode wird durch die neue Methode abgelöst oder ergänzt?</w:t>
            </w:r>
            <w:r w:rsidR="005D0274" w:rsidRPr="00484A24">
              <w:rPr>
                <w:rFonts w:ascii="TheSansOffice" w:hAnsi="TheSansOffice" w:cs="Arial"/>
                <w:b/>
                <w:bCs/>
              </w:rPr>
              <w:t xml:space="preserve"> *</w:t>
            </w:r>
          </w:p>
        </w:tc>
      </w:tr>
      <w:tr w:rsidR="005D0274" w:rsidRPr="00484A24" w14:paraId="719863A2" w14:textId="77777777" w:rsidTr="00C8220C">
        <w:trPr>
          <w:trHeight w:val="234"/>
        </w:trPr>
        <w:tc>
          <w:tcPr>
            <w:tcW w:w="9062" w:type="dxa"/>
            <w:shd w:val="clear" w:color="auto" w:fill="auto"/>
          </w:tcPr>
          <w:p w14:paraId="10AA5555" w14:textId="08395D7F" w:rsidR="005D0274" w:rsidRPr="00484A24" w:rsidRDefault="00E16D98" w:rsidP="00740309">
            <w:pPr>
              <w:rPr>
                <w:rFonts w:ascii="TheSansOffice" w:hAnsi="TheSansOffice" w:cs="Arial"/>
                <w:b/>
                <w:bCs/>
              </w:rPr>
            </w:pPr>
            <w:r w:rsidRPr="00E16D98">
              <w:rPr>
                <w:rFonts w:ascii="TheSansOffice" w:hAnsi="TheSansOffice" w:cs="Arial"/>
              </w:rPr>
              <w:t xml:space="preserve">Das neue Verfahren wird alternativ zu </w:t>
            </w:r>
            <w:r w:rsidR="00740309">
              <w:rPr>
                <w:rFonts w:ascii="TheSansOffice" w:hAnsi="TheSansOffice" w:cs="Arial"/>
              </w:rPr>
              <w:t>anderen</w:t>
            </w:r>
            <w:r w:rsidR="00740309" w:rsidRPr="00E16D98">
              <w:rPr>
                <w:rFonts w:ascii="TheSansOffice" w:hAnsi="TheSansOffice" w:cs="Arial"/>
              </w:rPr>
              <w:t xml:space="preserve"> </w:t>
            </w:r>
            <w:r w:rsidRPr="00E16D98">
              <w:rPr>
                <w:rFonts w:ascii="TheSansOffice" w:hAnsi="TheSansOffice" w:cs="Arial"/>
              </w:rPr>
              <w:t>SIRT Verfahren an der Leber OPS 8-530.a5 und 8-530.a6 angewandt.</w:t>
            </w:r>
          </w:p>
        </w:tc>
      </w:tr>
      <w:tr w:rsidR="00724255" w:rsidRPr="00484A24" w14:paraId="0F7E89CC" w14:textId="77777777" w:rsidTr="00C8220C">
        <w:tc>
          <w:tcPr>
            <w:tcW w:w="9062" w:type="dxa"/>
            <w:shd w:val="clear" w:color="auto" w:fill="DAEEF3" w:themeFill="accent5" w:themeFillTint="33"/>
          </w:tcPr>
          <w:p w14:paraId="7E33422C" w14:textId="77777777" w:rsidR="00724255" w:rsidRPr="00484A24" w:rsidRDefault="00724255" w:rsidP="00724255">
            <w:pPr>
              <w:rPr>
                <w:rFonts w:ascii="TheSansOffice" w:hAnsi="TheSansOffice" w:cs="Arial"/>
                <w:b/>
                <w:bCs/>
              </w:rPr>
            </w:pPr>
            <w:r w:rsidRPr="00484A24">
              <w:rPr>
                <w:rFonts w:ascii="TheSansOffice" w:hAnsi="TheSansOffice" w:cs="Arial"/>
                <w:b/>
                <w:bCs/>
              </w:rPr>
              <w:t>Ist die Methode vollständig oder in Teilen neu und warum handelt es sich um eine neue Unters</w:t>
            </w:r>
            <w:r w:rsidR="00F41CBC" w:rsidRPr="00484A24">
              <w:rPr>
                <w:rFonts w:ascii="TheSansOffice" w:hAnsi="TheSansOffice" w:cs="Arial"/>
                <w:b/>
                <w:bCs/>
              </w:rPr>
              <w:t>uchungs- und Behandlungsmethode</w:t>
            </w:r>
            <w:r w:rsidRPr="00484A24">
              <w:rPr>
                <w:rFonts w:ascii="TheSansOffice" w:hAnsi="TheSansOffice" w:cs="Arial"/>
                <w:b/>
                <w:bCs/>
              </w:rPr>
              <w:t>?</w:t>
            </w:r>
            <w:r w:rsidR="005D0274" w:rsidRPr="00484A24">
              <w:rPr>
                <w:rFonts w:ascii="TheSansOffice" w:hAnsi="TheSansOffice" w:cs="Arial"/>
                <w:b/>
                <w:bCs/>
              </w:rPr>
              <w:t xml:space="preserve"> *</w:t>
            </w:r>
          </w:p>
        </w:tc>
      </w:tr>
      <w:tr w:rsidR="00724255" w:rsidRPr="00484A24" w14:paraId="10EA6B45" w14:textId="77777777" w:rsidTr="00C8220C">
        <w:tc>
          <w:tcPr>
            <w:tcW w:w="9062" w:type="dxa"/>
            <w:shd w:val="clear" w:color="auto" w:fill="auto"/>
          </w:tcPr>
          <w:p w14:paraId="778B3922" w14:textId="77777777" w:rsidR="006B2287" w:rsidRPr="006B2287" w:rsidRDefault="006B2287" w:rsidP="006B2287">
            <w:pPr>
              <w:rPr>
                <w:rFonts w:ascii="TheSansOffice" w:hAnsi="TheSansOffice" w:cs="Arial"/>
              </w:rPr>
            </w:pPr>
            <w:r w:rsidRPr="006B2287">
              <w:rPr>
                <w:rFonts w:ascii="TheSansOffice" w:hAnsi="TheSansOffice" w:cs="Arial"/>
              </w:rPr>
              <w:t xml:space="preserve">Holmium-166 markierte Mikrosphären erhielten im April 2015 die CE-Zertifizierung und sind daher, sowohl in Europa, als auch in Deutschland neu. </w:t>
            </w:r>
          </w:p>
          <w:p w14:paraId="331BBE58" w14:textId="77777777" w:rsidR="006B2287" w:rsidRPr="006B2287" w:rsidRDefault="006B2287" w:rsidP="006B2287">
            <w:pPr>
              <w:rPr>
                <w:rFonts w:ascii="TheSansOffice" w:hAnsi="TheSansOffice" w:cs="Arial"/>
              </w:rPr>
            </w:pPr>
          </w:p>
          <w:p w14:paraId="4A620C83" w14:textId="77777777" w:rsidR="006B2287" w:rsidRPr="006B2287" w:rsidRDefault="006B2287" w:rsidP="006B2287">
            <w:pPr>
              <w:rPr>
                <w:rFonts w:ascii="TheSansOffice" w:hAnsi="TheSansOffice" w:cs="Arial"/>
              </w:rPr>
            </w:pPr>
            <w:r w:rsidRPr="006B2287">
              <w:rPr>
                <w:rFonts w:ascii="TheSansOffice" w:hAnsi="TheSansOffice" w:cs="Arial"/>
              </w:rPr>
              <w:t xml:space="preserve">Die Neuheit der Methode liegt in der Sichtbarkeit der Sphären. Die hohen paramagnetischen Eigenschaften ermöglichen die effektive Evaluation der Behandlung und die Unterstützung der Verabreichung mittels </w:t>
            </w:r>
            <w:proofErr w:type="spellStart"/>
            <w:r w:rsidRPr="006B2287">
              <w:rPr>
                <w:rFonts w:ascii="TheSansOffice" w:hAnsi="TheSansOffice" w:cs="Arial"/>
              </w:rPr>
              <w:t>Echtzeitbildgebung</w:t>
            </w:r>
            <w:proofErr w:type="spellEnd"/>
            <w:r w:rsidRPr="006B2287">
              <w:rPr>
                <w:rFonts w:ascii="TheSansOffice" w:hAnsi="TheSansOffice" w:cs="Arial"/>
              </w:rPr>
              <w:t xml:space="preserve"> im MRT.</w:t>
            </w:r>
          </w:p>
          <w:p w14:paraId="2E86CF90" w14:textId="5378ADE7" w:rsidR="006B2287" w:rsidRPr="006B2287" w:rsidRDefault="006B2287" w:rsidP="006B2287">
            <w:pPr>
              <w:rPr>
                <w:rFonts w:ascii="TheSansOffice" w:hAnsi="TheSansOffice" w:cs="Arial"/>
              </w:rPr>
            </w:pPr>
            <w:r w:rsidRPr="006B2287">
              <w:rPr>
                <w:rFonts w:ascii="TheSansOffice" w:hAnsi="TheSansOffice" w:cs="Arial"/>
              </w:rPr>
              <w:t>Durch die Gamma</w:t>
            </w:r>
            <w:r w:rsidR="00EE20DA">
              <w:rPr>
                <w:rFonts w:ascii="TheSansOffice" w:hAnsi="TheSansOffice" w:cs="Arial"/>
              </w:rPr>
              <w:t>s</w:t>
            </w:r>
            <w:r w:rsidRPr="006B2287">
              <w:rPr>
                <w:rFonts w:ascii="TheSansOffice" w:hAnsi="TheSansOffice" w:cs="Arial"/>
              </w:rPr>
              <w:t>trahlung des verwendeten Holmiums ist es möglich, die Sphären beim SPECT zu detektieren. Zudem geben die Holmium-166 markierten Mikrosphären eine höhere Strahlendosis ab als</w:t>
            </w:r>
            <w:r w:rsidR="00516FCB">
              <w:rPr>
                <w:rFonts w:ascii="TheSansOffice" w:hAnsi="TheSansOffice" w:cs="Arial"/>
              </w:rPr>
              <w:t xml:space="preserve"> Yttrium-90</w:t>
            </w:r>
            <w:r w:rsidR="00516FCB" w:rsidRPr="00D643A4">
              <w:rPr>
                <w:rFonts w:ascii="TheSansOffice" w:hAnsi="TheSansOffice" w:cs="Arial"/>
              </w:rPr>
              <w:t xml:space="preserve"> </w:t>
            </w:r>
            <w:r w:rsidRPr="00516FCB">
              <w:rPr>
                <w:rFonts w:ascii="TheSansOffice" w:hAnsi="TheSansOffice" w:cs="Arial"/>
              </w:rPr>
              <w:t>Sphären</w:t>
            </w:r>
            <w:r w:rsidRPr="006B2287">
              <w:rPr>
                <w:rFonts w:ascii="TheSansOffice" w:hAnsi="TheSansOffice" w:cs="Arial"/>
              </w:rPr>
              <w:t>, was aus radiobiologischer Sicht klinische Vorteile bietet.</w:t>
            </w:r>
          </w:p>
          <w:p w14:paraId="466AF94A" w14:textId="04D59637" w:rsidR="000B757C" w:rsidRPr="000B757C" w:rsidRDefault="006B2287" w:rsidP="006B2287">
            <w:pPr>
              <w:rPr>
                <w:rFonts w:ascii="TheSansOffice" w:hAnsi="TheSansOffice" w:cs="Arial"/>
              </w:rPr>
            </w:pPr>
            <w:r w:rsidRPr="006B2287">
              <w:rPr>
                <w:rFonts w:ascii="TheSansOffice" w:hAnsi="TheSansOffice" w:cs="Arial"/>
              </w:rPr>
              <w:t>Auf dem CIRSE (</w:t>
            </w:r>
            <w:proofErr w:type="spellStart"/>
            <w:r w:rsidRPr="006B2287">
              <w:rPr>
                <w:rFonts w:ascii="TheSansOffice" w:hAnsi="TheSansOffice" w:cs="Arial"/>
              </w:rPr>
              <w:t>Cardiovascular</w:t>
            </w:r>
            <w:proofErr w:type="spellEnd"/>
            <w:r w:rsidRPr="006B2287">
              <w:rPr>
                <w:rFonts w:ascii="TheSansOffice" w:hAnsi="TheSansOffice" w:cs="Arial"/>
              </w:rPr>
              <w:t xml:space="preserve"> </w:t>
            </w:r>
            <w:proofErr w:type="spellStart"/>
            <w:r w:rsidRPr="006B2287">
              <w:rPr>
                <w:rFonts w:ascii="TheSansOffice" w:hAnsi="TheSansOffice" w:cs="Arial"/>
              </w:rPr>
              <w:t>and</w:t>
            </w:r>
            <w:proofErr w:type="spellEnd"/>
            <w:r w:rsidRPr="006B2287">
              <w:rPr>
                <w:rFonts w:ascii="TheSansOffice" w:hAnsi="TheSansOffice" w:cs="Arial"/>
              </w:rPr>
              <w:t xml:space="preserve"> </w:t>
            </w:r>
            <w:proofErr w:type="spellStart"/>
            <w:r w:rsidRPr="006B2287">
              <w:rPr>
                <w:rFonts w:ascii="TheSansOffice" w:hAnsi="TheSansOffice" w:cs="Arial"/>
              </w:rPr>
              <w:t>Interventional</w:t>
            </w:r>
            <w:proofErr w:type="spellEnd"/>
            <w:r w:rsidRPr="006B2287">
              <w:rPr>
                <w:rFonts w:ascii="TheSansOffice" w:hAnsi="TheSansOffice" w:cs="Arial"/>
              </w:rPr>
              <w:t xml:space="preserve"> Radiological Society </w:t>
            </w:r>
            <w:proofErr w:type="spellStart"/>
            <w:r w:rsidRPr="006B2287">
              <w:rPr>
                <w:rFonts w:ascii="TheSansOffice" w:hAnsi="TheSansOffice" w:cs="Arial"/>
              </w:rPr>
              <w:t>of</w:t>
            </w:r>
            <w:proofErr w:type="spellEnd"/>
            <w:r w:rsidRPr="006B2287">
              <w:rPr>
                <w:rFonts w:ascii="TheSansOffice" w:hAnsi="TheSansOffice" w:cs="Arial"/>
              </w:rPr>
              <w:t xml:space="preserve"> Europe) Kongress 2014 hat die Forschergruppe aus dem University Medical Center in Utrecht den “Excellence </w:t>
            </w:r>
            <w:proofErr w:type="spellStart"/>
            <w:r w:rsidRPr="006B2287">
              <w:rPr>
                <w:rFonts w:ascii="TheSansOffice" w:hAnsi="TheSansOffice" w:cs="Arial"/>
              </w:rPr>
              <w:t>and</w:t>
            </w:r>
            <w:proofErr w:type="spellEnd"/>
            <w:r w:rsidRPr="006B2287">
              <w:rPr>
                <w:rFonts w:ascii="TheSansOffice" w:hAnsi="TheSansOffice" w:cs="Arial"/>
              </w:rPr>
              <w:t xml:space="preserve"> Innovation Award” für ihre Forschungsarbeiten rund um die Holmium-166 </w:t>
            </w:r>
            <w:proofErr w:type="spellStart"/>
            <w:r w:rsidRPr="006B2287">
              <w:rPr>
                <w:rFonts w:ascii="TheSansOffice" w:hAnsi="TheSansOffice" w:cs="Arial"/>
              </w:rPr>
              <w:t>Radioembolisation</w:t>
            </w:r>
            <w:proofErr w:type="spellEnd"/>
            <w:r w:rsidRPr="006B2287">
              <w:rPr>
                <w:rFonts w:ascii="TheSansOffice" w:hAnsi="TheSansOffice" w:cs="Arial"/>
              </w:rPr>
              <w:t xml:space="preserve"> gewonnen. Ein Hauptgrund für diesen Preis sind die nur mit dieser Methode verfügbaren Möglichkeiten der Bildgebung mit verschiedenen Modalitäten.</w:t>
            </w:r>
          </w:p>
        </w:tc>
      </w:tr>
      <w:tr w:rsidR="00724255" w:rsidRPr="00484A24" w14:paraId="0D599C0A" w14:textId="77777777" w:rsidTr="00C8220C">
        <w:tc>
          <w:tcPr>
            <w:tcW w:w="9062" w:type="dxa"/>
            <w:shd w:val="clear" w:color="auto" w:fill="DAEEF3" w:themeFill="accent5" w:themeFillTint="33"/>
          </w:tcPr>
          <w:p w14:paraId="0C21F250" w14:textId="77777777" w:rsidR="00724255" w:rsidRPr="00484A24" w:rsidRDefault="00724255" w:rsidP="00724255">
            <w:pPr>
              <w:rPr>
                <w:rFonts w:ascii="TheSansOffice" w:hAnsi="TheSansOffice" w:cs="Arial"/>
                <w:b/>
                <w:bCs/>
              </w:rPr>
            </w:pPr>
            <w:r w:rsidRPr="00484A24">
              <w:rPr>
                <w:rFonts w:ascii="TheSansOffice" w:hAnsi="TheSansOffice" w:cs="Arial"/>
                <w:b/>
                <w:bCs/>
              </w:rPr>
              <w:t>Welche Auswirkungen hat die Methode auf die Verweildauer im Krankenhaus?</w:t>
            </w:r>
          </w:p>
        </w:tc>
      </w:tr>
      <w:tr w:rsidR="00724255" w:rsidRPr="00484A24" w14:paraId="14BD0B0B" w14:textId="77777777" w:rsidTr="00C8220C">
        <w:trPr>
          <w:trHeight w:val="264"/>
        </w:trPr>
        <w:tc>
          <w:tcPr>
            <w:tcW w:w="9062" w:type="dxa"/>
            <w:shd w:val="clear" w:color="auto" w:fill="auto"/>
          </w:tcPr>
          <w:p w14:paraId="05DEBD7F" w14:textId="03C3CAD5" w:rsidR="00B6371C" w:rsidRPr="00B6371C" w:rsidRDefault="00B6371C" w:rsidP="00B6371C">
            <w:pPr>
              <w:rPr>
                <w:rFonts w:ascii="TheSansOffice" w:hAnsi="TheSansOffice" w:cs="Arial"/>
              </w:rPr>
            </w:pPr>
            <w:r>
              <w:rPr>
                <w:rFonts w:ascii="TheSansOffice" w:hAnsi="TheSansOffice" w:cs="Arial"/>
              </w:rPr>
              <w:t>In der H</w:t>
            </w:r>
            <w:r w:rsidR="00516FCB">
              <w:rPr>
                <w:rFonts w:ascii="TheSansOffice" w:hAnsi="TheSansOffice" w:cs="Arial"/>
              </w:rPr>
              <w:t>29Z</w:t>
            </w:r>
            <w:r w:rsidRPr="00B6371C">
              <w:rPr>
                <w:rFonts w:ascii="TheSansOffice" w:hAnsi="TheSansOffice" w:cs="Arial"/>
              </w:rPr>
              <w:t>, in die diese Patienten in der Regel fallen, ist die mittlere VWD derzeit 3,</w:t>
            </w:r>
            <w:r w:rsidR="00516FCB">
              <w:rPr>
                <w:rFonts w:ascii="TheSansOffice" w:hAnsi="TheSansOffice" w:cs="Arial"/>
              </w:rPr>
              <w:t>4</w:t>
            </w:r>
            <w:r w:rsidRPr="00B6371C">
              <w:rPr>
                <w:rFonts w:ascii="TheSansOffice" w:hAnsi="TheSansOffice" w:cs="Arial"/>
              </w:rPr>
              <w:t xml:space="preserve"> Tage. Es liegen noch keine Informationen vor, wie sich die Methode auf die Verweildauer auswirkt.</w:t>
            </w:r>
          </w:p>
          <w:p w14:paraId="41C3EF38" w14:textId="0948FD1D" w:rsidR="00152779" w:rsidRPr="00484A24" w:rsidRDefault="00B6371C" w:rsidP="00516FCB">
            <w:pPr>
              <w:rPr>
                <w:rFonts w:ascii="TheSansOffice" w:hAnsi="TheSansOffice" w:cs="Arial"/>
              </w:rPr>
            </w:pPr>
            <w:r w:rsidRPr="00B6371C">
              <w:rPr>
                <w:rFonts w:ascii="TheSansOffice" w:hAnsi="TheSansOffice" w:cs="Arial"/>
              </w:rPr>
              <w:t xml:space="preserve">Quelle: </w:t>
            </w:r>
            <w:proofErr w:type="spellStart"/>
            <w:r w:rsidRPr="00B6371C">
              <w:rPr>
                <w:rFonts w:ascii="TheSansOffice" w:hAnsi="TheSansOffice" w:cs="Arial"/>
              </w:rPr>
              <w:t>Fallpauschalenkatalog</w:t>
            </w:r>
            <w:proofErr w:type="spellEnd"/>
            <w:r w:rsidRPr="00B6371C">
              <w:rPr>
                <w:rFonts w:ascii="TheSansOffice" w:hAnsi="TheSansOffice" w:cs="Arial"/>
              </w:rPr>
              <w:t xml:space="preserve"> 201</w:t>
            </w:r>
            <w:r w:rsidR="00516FCB">
              <w:rPr>
                <w:rFonts w:ascii="TheSansOffice" w:hAnsi="TheSansOffice" w:cs="Arial"/>
              </w:rPr>
              <w:t>8</w:t>
            </w:r>
          </w:p>
        </w:tc>
      </w:tr>
    </w:tbl>
    <w:p w14:paraId="335D545A" w14:textId="77777777" w:rsidR="00964623" w:rsidRDefault="00964623" w:rsidP="00724255">
      <w:pPr>
        <w:rPr>
          <w:rFonts w:ascii="TheSansOffice" w:hAnsi="TheSansOffice" w:cs="Arial"/>
        </w:rPr>
      </w:pPr>
    </w:p>
    <w:p w14:paraId="1E79D2BF" w14:textId="77777777" w:rsidR="00964623" w:rsidRDefault="00964623">
      <w:pPr>
        <w:rPr>
          <w:rFonts w:ascii="TheSansOffice" w:hAnsi="TheSansOffice" w:cs="Arial"/>
        </w:rPr>
      </w:pPr>
      <w:r>
        <w:rPr>
          <w:rFonts w:ascii="TheSansOffice" w:hAnsi="TheSansOffice"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5D0274" w:rsidRPr="00484A24" w14:paraId="267442D0" w14:textId="77777777" w:rsidTr="00C8220C">
        <w:tc>
          <w:tcPr>
            <w:tcW w:w="9062" w:type="dxa"/>
            <w:gridSpan w:val="2"/>
            <w:shd w:val="clear" w:color="auto" w:fill="DAEEF3" w:themeFill="accent5" w:themeFillTint="33"/>
          </w:tcPr>
          <w:p w14:paraId="429698E4" w14:textId="77777777" w:rsidR="005D0274" w:rsidRPr="00484A24" w:rsidRDefault="005D0274" w:rsidP="00724255">
            <w:pPr>
              <w:rPr>
                <w:rFonts w:ascii="TheSansOffice" w:hAnsi="TheSansOffice" w:cs="Arial"/>
                <w:b/>
                <w:bCs/>
              </w:rPr>
            </w:pPr>
            <w:r w:rsidRPr="00484A24">
              <w:rPr>
                <w:rFonts w:ascii="TheSansOffice" w:hAnsi="TheSansOffice" w:cs="Arial"/>
                <w:b/>
                <w:bCs/>
                <w:sz w:val="32"/>
              </w:rPr>
              <w:lastRenderedPageBreak/>
              <w:t>Kennzahlen</w:t>
            </w:r>
          </w:p>
        </w:tc>
      </w:tr>
      <w:tr w:rsidR="00724255" w:rsidRPr="00484A24" w14:paraId="4505592C" w14:textId="77777777" w:rsidTr="00C8220C">
        <w:tc>
          <w:tcPr>
            <w:tcW w:w="9062" w:type="dxa"/>
            <w:gridSpan w:val="2"/>
            <w:shd w:val="clear" w:color="auto" w:fill="DAEEF3" w:themeFill="accent5" w:themeFillTint="33"/>
          </w:tcPr>
          <w:p w14:paraId="5533F330" w14:textId="77777777" w:rsidR="00724255" w:rsidRPr="00484A24" w:rsidRDefault="00724255" w:rsidP="00724255">
            <w:pPr>
              <w:rPr>
                <w:rFonts w:ascii="TheSansOffice" w:hAnsi="TheSansOffice" w:cs="Arial"/>
                <w:b/>
                <w:bCs/>
              </w:rPr>
            </w:pPr>
            <w:r w:rsidRPr="00484A24">
              <w:rPr>
                <w:rFonts w:ascii="TheSansOffice" w:hAnsi="TheSansOffice" w:cs="Arial"/>
                <w:b/>
                <w:bCs/>
              </w:rPr>
              <w:t>Wann wurde diese Methode in Deutschland eingeführt?</w:t>
            </w:r>
          </w:p>
        </w:tc>
      </w:tr>
      <w:tr w:rsidR="00724255" w:rsidRPr="00484A24" w14:paraId="5C079F8F" w14:textId="77777777" w:rsidTr="00C8220C">
        <w:tc>
          <w:tcPr>
            <w:tcW w:w="9062" w:type="dxa"/>
            <w:gridSpan w:val="2"/>
            <w:shd w:val="clear" w:color="auto" w:fill="auto"/>
          </w:tcPr>
          <w:p w14:paraId="793AB390" w14:textId="77777777" w:rsidR="00724255" w:rsidRPr="00484A24" w:rsidRDefault="0012454C" w:rsidP="000710CA">
            <w:pPr>
              <w:rPr>
                <w:rFonts w:ascii="TheSansOffice" w:hAnsi="TheSansOffice" w:cs="Arial"/>
              </w:rPr>
            </w:pPr>
            <w:r>
              <w:rPr>
                <w:rFonts w:ascii="TheSansOffice" w:hAnsi="TheSansOffice" w:cs="Arial"/>
              </w:rPr>
              <w:t>2015</w:t>
            </w:r>
          </w:p>
        </w:tc>
      </w:tr>
      <w:tr w:rsidR="00724255" w:rsidRPr="00484A24" w14:paraId="13F7517C" w14:textId="77777777" w:rsidTr="00C8220C">
        <w:tc>
          <w:tcPr>
            <w:tcW w:w="9062" w:type="dxa"/>
            <w:gridSpan w:val="2"/>
            <w:shd w:val="clear" w:color="auto" w:fill="DAEEF3" w:themeFill="accent5" w:themeFillTint="33"/>
          </w:tcPr>
          <w:p w14:paraId="2B8121B8" w14:textId="77777777" w:rsidR="00724255" w:rsidRPr="00484A24" w:rsidRDefault="00724255" w:rsidP="00724255">
            <w:pPr>
              <w:rPr>
                <w:rFonts w:ascii="TheSansOffice" w:hAnsi="TheSansOffice" w:cs="Arial"/>
                <w:b/>
                <w:bCs/>
              </w:rPr>
            </w:pPr>
            <w:r w:rsidRPr="00484A24">
              <w:rPr>
                <w:rFonts w:ascii="TheSansOffice" w:hAnsi="TheSansOffice" w:cs="Arial"/>
                <w:b/>
                <w:bCs/>
              </w:rPr>
              <w:t>Bei Medikamenten: Wann wurde dieses Medikament zugelassen?</w:t>
            </w:r>
          </w:p>
        </w:tc>
      </w:tr>
      <w:tr w:rsidR="00724255" w:rsidRPr="00484A24" w14:paraId="4DD61F97" w14:textId="77777777" w:rsidTr="00C8220C">
        <w:tc>
          <w:tcPr>
            <w:tcW w:w="9062" w:type="dxa"/>
            <w:gridSpan w:val="2"/>
            <w:shd w:val="clear" w:color="auto" w:fill="auto"/>
          </w:tcPr>
          <w:p w14:paraId="11FDBA05" w14:textId="77777777" w:rsidR="00724255" w:rsidRPr="00484A24" w:rsidRDefault="00152779" w:rsidP="003C642D">
            <w:pPr>
              <w:rPr>
                <w:rFonts w:ascii="TheSansOffice" w:hAnsi="TheSansOffice" w:cs="Arial"/>
              </w:rPr>
            </w:pPr>
            <w:r w:rsidRPr="00484A24">
              <w:rPr>
                <w:rFonts w:ascii="TheSansOffice" w:hAnsi="TheSansOffice" w:cs="Arial"/>
              </w:rPr>
              <w:t>./.</w:t>
            </w:r>
          </w:p>
        </w:tc>
      </w:tr>
      <w:tr w:rsidR="00724255" w:rsidRPr="00484A24" w14:paraId="11474363" w14:textId="77777777" w:rsidTr="00C8220C">
        <w:tc>
          <w:tcPr>
            <w:tcW w:w="9062" w:type="dxa"/>
            <w:gridSpan w:val="2"/>
            <w:shd w:val="clear" w:color="auto" w:fill="DAEEF3" w:themeFill="accent5" w:themeFillTint="33"/>
          </w:tcPr>
          <w:p w14:paraId="2A86D287" w14:textId="77777777" w:rsidR="00724255" w:rsidRPr="00484A24" w:rsidRDefault="00724255" w:rsidP="00724255">
            <w:pPr>
              <w:rPr>
                <w:rFonts w:ascii="TheSansOffice" w:hAnsi="TheSansOffice" w:cs="Arial"/>
                <w:b/>
                <w:bCs/>
              </w:rPr>
            </w:pPr>
            <w:r w:rsidRPr="00484A24">
              <w:rPr>
                <w:rFonts w:ascii="TheSansOffice" w:hAnsi="TheSansOffice" w:cs="Arial"/>
                <w:b/>
                <w:bCs/>
              </w:rPr>
              <w:t xml:space="preserve">Wann wurde die Methode </w:t>
            </w:r>
            <w:r w:rsidR="00F8132B">
              <w:rPr>
                <w:rFonts w:ascii="TheSansOffice" w:hAnsi="TheSansOffice" w:cs="Arial"/>
                <w:b/>
                <w:bCs/>
              </w:rPr>
              <w:t xml:space="preserve">bzw. wird </w:t>
            </w:r>
            <w:r w:rsidRPr="00484A24">
              <w:rPr>
                <w:rFonts w:ascii="TheSansOffice" w:hAnsi="TheSansOffice" w:cs="Arial"/>
                <w:b/>
                <w:bCs/>
              </w:rPr>
              <w:t>in Ihrem Krankenhaus eingeführt?</w:t>
            </w:r>
            <w:r w:rsidR="005D0274" w:rsidRPr="00484A24">
              <w:rPr>
                <w:rFonts w:ascii="TheSansOffice" w:hAnsi="TheSansOffice" w:cs="Arial"/>
                <w:b/>
                <w:bCs/>
              </w:rPr>
              <w:t xml:space="preserve"> *</w:t>
            </w:r>
          </w:p>
        </w:tc>
      </w:tr>
      <w:tr w:rsidR="00724255" w:rsidRPr="00484A24" w14:paraId="35971872" w14:textId="77777777" w:rsidTr="00C8220C">
        <w:tc>
          <w:tcPr>
            <w:tcW w:w="9062" w:type="dxa"/>
            <w:gridSpan w:val="2"/>
            <w:shd w:val="clear" w:color="auto" w:fill="auto"/>
          </w:tcPr>
          <w:p w14:paraId="75F0E53C" w14:textId="77777777" w:rsidR="00724255" w:rsidRPr="00484A24" w:rsidRDefault="00DA62C1" w:rsidP="00DA62C1">
            <w:pPr>
              <w:rPr>
                <w:rFonts w:ascii="TheSansOffice" w:hAnsi="TheSansOffice" w:cs="Arial"/>
                <w:color w:val="C00000"/>
                <w:sz w:val="28"/>
              </w:rPr>
            </w:pPr>
            <w:r w:rsidRPr="00484A24">
              <w:rPr>
                <w:rFonts w:ascii="TheSansOffice" w:hAnsi="TheSansOffice" w:cs="Arial"/>
                <w:color w:val="C00000"/>
                <w:sz w:val="28"/>
              </w:rPr>
              <w:t>(Einzusetzen im Portal vom beantragenden Krankenhaus)</w:t>
            </w:r>
          </w:p>
        </w:tc>
      </w:tr>
      <w:tr w:rsidR="00724255" w:rsidRPr="00484A24" w14:paraId="6F76B286" w14:textId="77777777" w:rsidTr="00C8220C">
        <w:tc>
          <w:tcPr>
            <w:tcW w:w="9062" w:type="dxa"/>
            <w:gridSpan w:val="2"/>
            <w:shd w:val="clear" w:color="auto" w:fill="DAEEF3" w:themeFill="accent5" w:themeFillTint="33"/>
          </w:tcPr>
          <w:p w14:paraId="0091ABC1" w14:textId="77777777" w:rsidR="00724255" w:rsidRPr="00484A24" w:rsidRDefault="00724255" w:rsidP="00F8132B">
            <w:pPr>
              <w:rPr>
                <w:rFonts w:ascii="TheSansOffice" w:hAnsi="TheSansOffice" w:cs="Arial"/>
                <w:b/>
                <w:bCs/>
              </w:rPr>
            </w:pPr>
            <w:r w:rsidRPr="00484A24">
              <w:rPr>
                <w:rFonts w:ascii="TheSansOffice" w:hAnsi="TheSansOffice" w:cs="Arial"/>
                <w:b/>
                <w:bCs/>
              </w:rPr>
              <w:t xml:space="preserve">In wie vielen Kliniken wird diese Methode </w:t>
            </w:r>
            <w:r w:rsidR="00F8132B">
              <w:rPr>
                <w:rFonts w:ascii="TheSansOffice" w:hAnsi="TheSansOffice" w:cs="Arial"/>
                <w:b/>
                <w:bCs/>
              </w:rPr>
              <w:t>zu</w:t>
            </w:r>
            <w:r w:rsidRPr="00484A24">
              <w:rPr>
                <w:rFonts w:ascii="TheSansOffice" w:hAnsi="TheSansOffice" w:cs="Arial"/>
                <w:b/>
                <w:bCs/>
              </w:rPr>
              <w:t>rzeit eingesetzt (Schätzung)?</w:t>
            </w:r>
          </w:p>
        </w:tc>
      </w:tr>
      <w:tr w:rsidR="00724255" w:rsidRPr="00484A24" w14:paraId="50261FA6" w14:textId="77777777" w:rsidTr="00C8220C">
        <w:tc>
          <w:tcPr>
            <w:tcW w:w="9062" w:type="dxa"/>
            <w:gridSpan w:val="2"/>
            <w:shd w:val="clear" w:color="auto" w:fill="auto"/>
          </w:tcPr>
          <w:p w14:paraId="37ABAD5A" w14:textId="0B8CC671" w:rsidR="00724255" w:rsidRPr="00484A24" w:rsidRDefault="000C653D" w:rsidP="00724255">
            <w:pPr>
              <w:rPr>
                <w:rFonts w:ascii="TheSansOffice" w:hAnsi="TheSansOffice" w:cs="Arial"/>
              </w:rPr>
            </w:pPr>
            <w:r>
              <w:rPr>
                <w:rFonts w:ascii="TheSansOffice" w:hAnsi="TheSansOffice" w:cs="Arial"/>
              </w:rPr>
              <w:t>4</w:t>
            </w:r>
          </w:p>
        </w:tc>
      </w:tr>
      <w:tr w:rsidR="00724255" w:rsidRPr="00484A24" w14:paraId="46CF539F" w14:textId="77777777" w:rsidTr="00C8220C">
        <w:tc>
          <w:tcPr>
            <w:tcW w:w="9062" w:type="dxa"/>
            <w:gridSpan w:val="2"/>
            <w:shd w:val="clear" w:color="auto" w:fill="DAEEF3" w:themeFill="accent5" w:themeFillTint="33"/>
          </w:tcPr>
          <w:p w14:paraId="619907DB" w14:textId="666C394A" w:rsidR="00724255" w:rsidRPr="00484A24" w:rsidRDefault="00724255" w:rsidP="00516FCB">
            <w:pPr>
              <w:pStyle w:val="Textkrper2"/>
              <w:rPr>
                <w:rFonts w:ascii="TheSansOffice" w:hAnsi="TheSansOffice"/>
                <w:sz w:val="24"/>
              </w:rPr>
            </w:pPr>
            <w:r w:rsidRPr="00484A24">
              <w:rPr>
                <w:rFonts w:ascii="TheSansOffice" w:hAnsi="TheSansOffice"/>
                <w:sz w:val="24"/>
              </w:rPr>
              <w:t>Wie viele Patienten wurden in Ihrem Krankenhaus in 201</w:t>
            </w:r>
            <w:r w:rsidR="00516FCB">
              <w:rPr>
                <w:rFonts w:ascii="TheSansOffice" w:hAnsi="TheSansOffice"/>
                <w:sz w:val="24"/>
              </w:rPr>
              <w:t>7</w:t>
            </w:r>
            <w:r w:rsidRPr="00484A24">
              <w:rPr>
                <w:rFonts w:ascii="TheSansOffice" w:hAnsi="TheSansOffice"/>
                <w:sz w:val="24"/>
              </w:rPr>
              <w:t xml:space="preserve"> oder in 201</w:t>
            </w:r>
            <w:r w:rsidR="00516FCB">
              <w:rPr>
                <w:rFonts w:ascii="TheSansOffice" w:hAnsi="TheSansOffice"/>
                <w:sz w:val="24"/>
              </w:rPr>
              <w:t>8</w:t>
            </w:r>
            <w:r w:rsidRPr="00484A24">
              <w:rPr>
                <w:rFonts w:ascii="TheSansOffice" w:hAnsi="TheSansOffice"/>
                <w:sz w:val="24"/>
              </w:rPr>
              <w:t xml:space="preserve"> mit dieser Methode behandelt?</w:t>
            </w:r>
          </w:p>
        </w:tc>
      </w:tr>
      <w:tr w:rsidR="005D0274" w:rsidRPr="00484A24" w14:paraId="3F0D2AAC" w14:textId="77777777" w:rsidTr="00C8220C">
        <w:tc>
          <w:tcPr>
            <w:tcW w:w="4531" w:type="dxa"/>
            <w:shd w:val="clear" w:color="auto" w:fill="DAEEF3" w:themeFill="accent5" w:themeFillTint="33"/>
          </w:tcPr>
          <w:p w14:paraId="1AC7C64B" w14:textId="60DEADBD" w:rsidR="005D0274" w:rsidRPr="00484A24" w:rsidRDefault="005D0274" w:rsidP="00516FCB">
            <w:pPr>
              <w:pStyle w:val="Textkrper2"/>
              <w:rPr>
                <w:rFonts w:ascii="TheSansOffice" w:hAnsi="TheSansOffice"/>
                <w:sz w:val="24"/>
              </w:rPr>
            </w:pPr>
            <w:r w:rsidRPr="00484A24">
              <w:rPr>
                <w:rFonts w:ascii="TheSansOffice" w:hAnsi="TheSansOffice"/>
                <w:sz w:val="24"/>
              </w:rPr>
              <w:t>In 201</w:t>
            </w:r>
            <w:r w:rsidR="00516FCB">
              <w:rPr>
                <w:rFonts w:ascii="TheSansOffice" w:hAnsi="TheSansOffice"/>
                <w:sz w:val="24"/>
              </w:rPr>
              <w:t>7</w:t>
            </w:r>
            <w:r w:rsidRPr="00484A24">
              <w:rPr>
                <w:rFonts w:ascii="TheSansOffice" w:hAnsi="TheSansOffice"/>
                <w:sz w:val="24"/>
              </w:rPr>
              <w:t xml:space="preserve"> *</w:t>
            </w:r>
          </w:p>
        </w:tc>
        <w:tc>
          <w:tcPr>
            <w:tcW w:w="4531" w:type="dxa"/>
            <w:shd w:val="clear" w:color="auto" w:fill="DAEEF3" w:themeFill="accent5" w:themeFillTint="33"/>
          </w:tcPr>
          <w:p w14:paraId="7D0EE251" w14:textId="59BC0E0A" w:rsidR="005D0274" w:rsidRPr="00484A24" w:rsidRDefault="005D0274" w:rsidP="00754901">
            <w:pPr>
              <w:pStyle w:val="Textkrper2"/>
              <w:rPr>
                <w:rFonts w:ascii="TheSansOffice" w:hAnsi="TheSansOffice"/>
                <w:sz w:val="24"/>
              </w:rPr>
            </w:pPr>
            <w:r w:rsidRPr="00484A24">
              <w:rPr>
                <w:rFonts w:ascii="TheSansOffice" w:hAnsi="TheSansOffice"/>
                <w:sz w:val="24"/>
              </w:rPr>
              <w:t>In 201</w:t>
            </w:r>
            <w:r w:rsidR="00516FCB">
              <w:rPr>
                <w:rFonts w:ascii="TheSansOffice" w:hAnsi="TheSansOffice"/>
                <w:sz w:val="24"/>
              </w:rPr>
              <w:t>8</w:t>
            </w:r>
            <w:r w:rsidRPr="00484A24">
              <w:rPr>
                <w:rFonts w:ascii="TheSansOffice" w:hAnsi="TheSansOffice"/>
                <w:sz w:val="24"/>
              </w:rPr>
              <w:t xml:space="preserve"> *</w:t>
            </w:r>
          </w:p>
        </w:tc>
      </w:tr>
      <w:tr w:rsidR="005D0274" w:rsidRPr="00484A24" w14:paraId="5B69C860" w14:textId="77777777" w:rsidTr="00C8220C">
        <w:tc>
          <w:tcPr>
            <w:tcW w:w="4531" w:type="dxa"/>
            <w:shd w:val="clear" w:color="auto" w:fill="auto"/>
          </w:tcPr>
          <w:p w14:paraId="772ADC07" w14:textId="77777777" w:rsidR="005D0274" w:rsidRPr="00484A24" w:rsidRDefault="00DA62C1" w:rsidP="00724255">
            <w:pPr>
              <w:rPr>
                <w:rFonts w:ascii="TheSansOffice" w:hAnsi="TheSansOffice" w:cs="Arial"/>
                <w:color w:val="C00000"/>
                <w:sz w:val="28"/>
              </w:rPr>
            </w:pPr>
            <w:r w:rsidRPr="00484A24">
              <w:rPr>
                <w:rFonts w:ascii="TheSansOffice" w:hAnsi="TheSansOffice" w:cs="Arial"/>
                <w:color w:val="C00000"/>
                <w:sz w:val="28"/>
              </w:rPr>
              <w:t>(Einzusetzen im Portal vom beantragenden Krankenhaus)</w:t>
            </w:r>
          </w:p>
        </w:tc>
        <w:tc>
          <w:tcPr>
            <w:tcW w:w="4531" w:type="dxa"/>
            <w:shd w:val="clear" w:color="auto" w:fill="auto"/>
          </w:tcPr>
          <w:p w14:paraId="4247E6B0" w14:textId="77777777" w:rsidR="005D0274" w:rsidRPr="00484A24" w:rsidRDefault="00DA62C1" w:rsidP="00724255">
            <w:pPr>
              <w:rPr>
                <w:rFonts w:ascii="TheSansOffice" w:hAnsi="TheSansOffice" w:cs="Arial"/>
                <w:color w:val="C00000"/>
                <w:sz w:val="28"/>
              </w:rPr>
            </w:pPr>
            <w:r w:rsidRPr="00484A24">
              <w:rPr>
                <w:rFonts w:ascii="TheSansOffice" w:hAnsi="TheSansOffice" w:cs="Arial"/>
                <w:color w:val="C00000"/>
                <w:sz w:val="28"/>
              </w:rPr>
              <w:t>(Einzusetzen im Portal vom beantragenden Krankenhaus)</w:t>
            </w:r>
          </w:p>
        </w:tc>
      </w:tr>
      <w:tr w:rsidR="00724255" w:rsidRPr="00484A24" w14:paraId="170CA240" w14:textId="77777777" w:rsidTr="00C8220C">
        <w:tc>
          <w:tcPr>
            <w:tcW w:w="9062" w:type="dxa"/>
            <w:gridSpan w:val="2"/>
            <w:shd w:val="clear" w:color="auto" w:fill="DAEEF3" w:themeFill="accent5" w:themeFillTint="33"/>
          </w:tcPr>
          <w:p w14:paraId="0438EDEF" w14:textId="1E73826E" w:rsidR="00724255" w:rsidRPr="00484A24" w:rsidRDefault="00724255" w:rsidP="00754901">
            <w:pPr>
              <w:pStyle w:val="Textkrper2"/>
              <w:rPr>
                <w:rFonts w:ascii="TheSansOffice" w:hAnsi="TheSansOffice"/>
                <w:sz w:val="24"/>
              </w:rPr>
            </w:pPr>
            <w:r w:rsidRPr="00484A24">
              <w:rPr>
                <w:rFonts w:ascii="TheSansOffice" w:hAnsi="TheSansOffice"/>
                <w:sz w:val="24"/>
              </w:rPr>
              <w:t>Wie</w:t>
            </w:r>
            <w:r w:rsidR="005D0274" w:rsidRPr="00484A24">
              <w:rPr>
                <w:rFonts w:ascii="TheSansOffice" w:hAnsi="TheSansOffice"/>
                <w:sz w:val="24"/>
              </w:rPr>
              <w:t xml:space="preserve"> </w:t>
            </w:r>
            <w:r w:rsidRPr="00484A24">
              <w:rPr>
                <w:rFonts w:ascii="TheSansOffice" w:hAnsi="TheSansOffice"/>
                <w:sz w:val="24"/>
              </w:rPr>
              <w:t>viele Patienten</w:t>
            </w:r>
            <w:r w:rsidR="00F8525D" w:rsidRPr="00484A24">
              <w:rPr>
                <w:rFonts w:ascii="TheSansOffice" w:hAnsi="TheSansOffice"/>
                <w:sz w:val="24"/>
              </w:rPr>
              <w:t xml:space="preserve"> planen Sie im Jahr 201</w:t>
            </w:r>
            <w:r w:rsidR="00516FCB">
              <w:rPr>
                <w:rFonts w:ascii="TheSansOffice" w:hAnsi="TheSansOffice"/>
                <w:sz w:val="24"/>
              </w:rPr>
              <w:t>9</w:t>
            </w:r>
            <w:r w:rsidRPr="00484A24">
              <w:rPr>
                <w:rFonts w:ascii="TheSansOffice" w:hAnsi="TheSansOffice"/>
                <w:sz w:val="24"/>
              </w:rPr>
              <w:t xml:space="preserve"> mit dieser Methode zu behandeln?</w:t>
            </w:r>
            <w:r w:rsidR="006F2000" w:rsidRPr="00484A24">
              <w:rPr>
                <w:rFonts w:ascii="TheSansOffice" w:hAnsi="TheSansOffice"/>
                <w:sz w:val="24"/>
              </w:rPr>
              <w:t xml:space="preserve"> *</w:t>
            </w:r>
          </w:p>
        </w:tc>
      </w:tr>
      <w:tr w:rsidR="00724255" w:rsidRPr="00484A24" w14:paraId="0A78341E" w14:textId="77777777" w:rsidTr="00C8220C">
        <w:tc>
          <w:tcPr>
            <w:tcW w:w="9062" w:type="dxa"/>
            <w:gridSpan w:val="2"/>
            <w:shd w:val="clear" w:color="auto" w:fill="auto"/>
          </w:tcPr>
          <w:p w14:paraId="5AB91C1C" w14:textId="77777777" w:rsidR="00724255" w:rsidRPr="00484A24" w:rsidRDefault="00DA62C1" w:rsidP="00724255">
            <w:pPr>
              <w:rPr>
                <w:rFonts w:ascii="TheSansOffice" w:hAnsi="TheSansOffice" w:cs="Arial"/>
                <w:color w:val="C00000"/>
                <w:sz w:val="28"/>
              </w:rPr>
            </w:pPr>
            <w:r w:rsidRPr="00484A24">
              <w:rPr>
                <w:rFonts w:ascii="TheSansOffice" w:hAnsi="TheSansOffice" w:cs="Arial"/>
                <w:color w:val="C00000"/>
                <w:sz w:val="28"/>
              </w:rPr>
              <w:t>(Einzusetzen im Portal vom beantragenden Krankenhaus)</w:t>
            </w:r>
          </w:p>
        </w:tc>
      </w:tr>
    </w:tbl>
    <w:p w14:paraId="4074237D" w14:textId="77777777" w:rsidR="00964623" w:rsidRDefault="00964623" w:rsidP="00724255">
      <w:pPr>
        <w:rPr>
          <w:rFonts w:ascii="TheSansOffice" w:hAnsi="TheSansOffice" w:cs="Arial"/>
        </w:rPr>
      </w:pPr>
    </w:p>
    <w:p w14:paraId="42823BEA" w14:textId="77777777" w:rsidR="00964623" w:rsidRDefault="00964623">
      <w:pPr>
        <w:rPr>
          <w:rFonts w:ascii="TheSansOffice" w:hAnsi="TheSansOffice" w:cs="Arial"/>
        </w:rPr>
      </w:pPr>
      <w:r>
        <w:rPr>
          <w:rFonts w:ascii="TheSansOffice" w:hAnsi="TheSansOffice"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F2000" w:rsidRPr="00484A24" w14:paraId="7C377EF5" w14:textId="77777777" w:rsidTr="00C8220C">
        <w:tc>
          <w:tcPr>
            <w:tcW w:w="9062" w:type="dxa"/>
            <w:shd w:val="clear" w:color="auto" w:fill="DAEEF3" w:themeFill="accent5" w:themeFillTint="33"/>
          </w:tcPr>
          <w:p w14:paraId="1941611E" w14:textId="77777777" w:rsidR="006F2000" w:rsidRPr="00484A24" w:rsidRDefault="006F2000" w:rsidP="00724255">
            <w:pPr>
              <w:pStyle w:val="Textkrper2"/>
              <w:rPr>
                <w:rFonts w:ascii="TheSansOffice" w:hAnsi="TheSansOffice"/>
                <w:sz w:val="24"/>
              </w:rPr>
            </w:pPr>
            <w:r w:rsidRPr="00484A24">
              <w:rPr>
                <w:rFonts w:ascii="TheSansOffice" w:hAnsi="TheSansOffice"/>
                <w:sz w:val="32"/>
              </w:rPr>
              <w:lastRenderedPageBreak/>
              <w:t>Mehrkosten</w:t>
            </w:r>
          </w:p>
        </w:tc>
      </w:tr>
      <w:tr w:rsidR="00724255" w:rsidRPr="00484A24" w14:paraId="5C6AE8A8" w14:textId="77777777" w:rsidTr="00C8220C">
        <w:tc>
          <w:tcPr>
            <w:tcW w:w="9062" w:type="dxa"/>
            <w:shd w:val="clear" w:color="auto" w:fill="DAEEF3" w:themeFill="accent5" w:themeFillTint="33"/>
          </w:tcPr>
          <w:p w14:paraId="780E6CA5" w14:textId="77777777" w:rsidR="00724255" w:rsidRPr="00484A24" w:rsidRDefault="00724255" w:rsidP="00724255">
            <w:pPr>
              <w:pStyle w:val="Textkrper2"/>
              <w:rPr>
                <w:rFonts w:ascii="TheSansOffice" w:hAnsi="TheSansOffice"/>
                <w:sz w:val="24"/>
              </w:rPr>
            </w:pPr>
            <w:r w:rsidRPr="00484A24">
              <w:rPr>
                <w:rFonts w:ascii="TheSansOffice" w:hAnsi="TheSansOffice"/>
                <w:sz w:val="24"/>
              </w:rPr>
              <w:t>Entstehen durch die neue Methode Mehrkosten gegenüber dem bisher üblichen Verfahren? Wenn ja, wodurch? In welcher Höhe (möglichst aufgetrennt nach Personal- und Sachkosten)?</w:t>
            </w:r>
            <w:r w:rsidR="006F2000" w:rsidRPr="00484A24">
              <w:rPr>
                <w:rFonts w:ascii="TheSansOffice" w:hAnsi="TheSansOffice"/>
                <w:sz w:val="24"/>
              </w:rPr>
              <w:t xml:space="preserve"> *</w:t>
            </w:r>
          </w:p>
        </w:tc>
      </w:tr>
      <w:tr w:rsidR="00724255" w:rsidRPr="00484A24" w14:paraId="7370500F" w14:textId="77777777" w:rsidTr="00C8220C">
        <w:tc>
          <w:tcPr>
            <w:tcW w:w="9062" w:type="dxa"/>
            <w:shd w:val="clear" w:color="auto" w:fill="auto"/>
          </w:tcPr>
          <w:p w14:paraId="28AE15EB" w14:textId="3CEF641D" w:rsidR="000B76E1" w:rsidRPr="000B76E1" w:rsidRDefault="000B76E1" w:rsidP="000B76E1">
            <w:pPr>
              <w:pStyle w:val="Textkrper2"/>
              <w:rPr>
                <w:rStyle w:val="SchwacheHervorhebung"/>
                <w:rFonts w:ascii="TheSansOffice" w:hAnsi="TheSansOffice"/>
                <w:b w:val="0"/>
                <w:i w:val="0"/>
                <w:color w:val="auto"/>
                <w:sz w:val="24"/>
              </w:rPr>
            </w:pPr>
            <w:r w:rsidRPr="000B76E1">
              <w:rPr>
                <w:rStyle w:val="SchwacheHervorhebung"/>
                <w:rFonts w:ascii="TheSansOffice" w:hAnsi="TheSansOffice"/>
                <w:b w:val="0"/>
                <w:i w:val="0"/>
                <w:color w:val="auto"/>
                <w:sz w:val="24"/>
              </w:rPr>
              <w:t xml:space="preserve">Das InEK schuf für 2018 die DRG H29Z „Bestimmte selektive </w:t>
            </w:r>
            <w:proofErr w:type="spellStart"/>
            <w:r w:rsidRPr="000B76E1">
              <w:rPr>
                <w:rStyle w:val="SchwacheHervorhebung"/>
                <w:rFonts w:ascii="TheSansOffice" w:hAnsi="TheSansOffice"/>
                <w:b w:val="0"/>
                <w:i w:val="0"/>
                <w:color w:val="auto"/>
                <w:sz w:val="24"/>
              </w:rPr>
              <w:t>Embolisation</w:t>
            </w:r>
            <w:proofErr w:type="spellEnd"/>
            <w:r w:rsidRPr="000B76E1">
              <w:rPr>
                <w:rStyle w:val="SchwacheHervorhebung"/>
                <w:rFonts w:ascii="TheSansOffice" w:hAnsi="TheSansOffice"/>
                <w:b w:val="0"/>
                <w:i w:val="0"/>
                <w:color w:val="auto"/>
                <w:sz w:val="24"/>
              </w:rPr>
              <w:t xml:space="preserve"> oder SIRT“, der auch die SIRT Behandlung mit Holmium-166 beladenen Mikrosph</w:t>
            </w:r>
            <w:r w:rsidR="003B287F">
              <w:rPr>
                <w:rStyle w:val="SchwacheHervorhebung"/>
                <w:rFonts w:ascii="TheSansOffice" w:hAnsi="TheSansOffice"/>
                <w:b w:val="0"/>
                <w:i w:val="0"/>
                <w:color w:val="auto"/>
                <w:sz w:val="24"/>
              </w:rPr>
              <w:t>ä</w:t>
            </w:r>
            <w:r w:rsidRPr="000B76E1">
              <w:rPr>
                <w:rStyle w:val="SchwacheHervorhebung"/>
                <w:rFonts w:ascii="TheSansOffice" w:hAnsi="TheSansOffice"/>
                <w:b w:val="0"/>
                <w:i w:val="0"/>
                <w:color w:val="auto"/>
                <w:sz w:val="24"/>
              </w:rPr>
              <w:t>ren zugeordnet wird:</w:t>
            </w:r>
          </w:p>
          <w:p w14:paraId="25F644AE" w14:textId="398BACD1" w:rsidR="00CC762F" w:rsidRDefault="000B76E1" w:rsidP="000B76E1">
            <w:pPr>
              <w:pStyle w:val="Textkrper2"/>
              <w:rPr>
                <w:rStyle w:val="SchwacheHervorhebung"/>
                <w:rFonts w:ascii="TheSansOffice" w:hAnsi="TheSansOffice"/>
                <w:b w:val="0"/>
                <w:i w:val="0"/>
                <w:color w:val="auto"/>
                <w:sz w:val="24"/>
              </w:rPr>
            </w:pPr>
            <w:r w:rsidRPr="000B76E1">
              <w:rPr>
                <w:rStyle w:val="SchwacheHervorhebung"/>
                <w:rFonts w:ascii="TheSansOffice" w:hAnsi="TheSansOffice"/>
                <w:b w:val="0"/>
                <w:i w:val="0"/>
                <w:color w:val="auto"/>
                <w:sz w:val="24"/>
              </w:rPr>
              <w:t xml:space="preserve">H29Z Bestimmte selektive </w:t>
            </w:r>
            <w:proofErr w:type="spellStart"/>
            <w:r w:rsidRPr="000B76E1">
              <w:rPr>
                <w:rStyle w:val="SchwacheHervorhebung"/>
                <w:rFonts w:ascii="TheSansOffice" w:hAnsi="TheSansOffice"/>
                <w:b w:val="0"/>
                <w:i w:val="0"/>
                <w:color w:val="auto"/>
                <w:sz w:val="24"/>
              </w:rPr>
              <w:t>Embolisation</w:t>
            </w:r>
            <w:proofErr w:type="spellEnd"/>
            <w:r w:rsidRPr="000B76E1">
              <w:rPr>
                <w:rStyle w:val="SchwacheHervorhebung"/>
                <w:rFonts w:ascii="TheSansOffice" w:hAnsi="TheSansOffice"/>
                <w:b w:val="0"/>
                <w:i w:val="0"/>
                <w:color w:val="auto"/>
                <w:sz w:val="24"/>
              </w:rPr>
              <w:t xml:space="preserve"> oder SIRT mit einem Relativgewicht von 1,331. Auf Grundlage des Bundesbasisfallwerts für 2018 in Höhe von 3.467,30 € beträgt der Erlös somit 4.614,98 €.</w:t>
            </w:r>
          </w:p>
          <w:p w14:paraId="3E719C9A" w14:textId="77777777" w:rsidR="000B76E1" w:rsidRDefault="000B76E1" w:rsidP="000B76E1">
            <w:pPr>
              <w:pStyle w:val="Textkrper2"/>
              <w:rPr>
                <w:rStyle w:val="SchwacheHervorhebung"/>
                <w:rFonts w:ascii="TheSansOffice" w:hAnsi="TheSansOffice"/>
                <w:b w:val="0"/>
                <w:i w:val="0"/>
                <w:color w:val="auto"/>
                <w:sz w:val="24"/>
              </w:rPr>
            </w:pPr>
          </w:p>
          <w:p w14:paraId="52FBD35F" w14:textId="77777777" w:rsidR="000B76E1" w:rsidRPr="0014209A" w:rsidRDefault="000B76E1" w:rsidP="000B76E1">
            <w:pPr>
              <w:pStyle w:val="Textkrper2"/>
              <w:rPr>
                <w:rStyle w:val="SchwacheHervorhebung"/>
                <w:rFonts w:ascii="TheSansOffice" w:hAnsi="TheSansOffice"/>
                <w:b w:val="0"/>
                <w:i w:val="0"/>
                <w:color w:val="auto"/>
                <w:sz w:val="24"/>
              </w:rPr>
            </w:pPr>
            <w:r w:rsidRPr="0014209A">
              <w:rPr>
                <w:rStyle w:val="SchwacheHervorhebung"/>
                <w:rFonts w:ascii="TheSansOffice" w:hAnsi="TheSansOffice"/>
                <w:b w:val="0"/>
                <w:i w:val="0"/>
                <w:color w:val="auto"/>
                <w:sz w:val="24"/>
              </w:rPr>
              <w:t xml:space="preserve">Die Kosten der Methode unterteilen sich in: </w:t>
            </w:r>
          </w:p>
          <w:p w14:paraId="21E8C6F2" w14:textId="77777777" w:rsidR="000B76E1" w:rsidRPr="0014209A" w:rsidRDefault="000B76E1" w:rsidP="000B76E1">
            <w:pPr>
              <w:pStyle w:val="Textkrper2"/>
              <w:rPr>
                <w:rStyle w:val="SchwacheHervorhebung"/>
                <w:rFonts w:ascii="TheSansOffice" w:hAnsi="TheSansOffice"/>
                <w:b w:val="0"/>
                <w:i w:val="0"/>
                <w:color w:val="auto"/>
                <w:sz w:val="24"/>
              </w:rPr>
            </w:pPr>
            <w:r w:rsidRPr="0014209A">
              <w:rPr>
                <w:rStyle w:val="SchwacheHervorhebung"/>
                <w:rFonts w:ascii="TheSansOffice" w:hAnsi="TheSansOffice"/>
                <w:b w:val="0"/>
                <w:i w:val="0"/>
                <w:color w:val="auto"/>
                <w:sz w:val="24"/>
              </w:rPr>
              <w:t>1. Kosten für die Durchführung der Prozedur (Personalkosten)</w:t>
            </w:r>
          </w:p>
          <w:p w14:paraId="7A24E6CF" w14:textId="77777777" w:rsidR="000B76E1" w:rsidRPr="0014209A" w:rsidRDefault="000B76E1" w:rsidP="000B76E1">
            <w:pPr>
              <w:pStyle w:val="Textkrper2"/>
              <w:rPr>
                <w:rStyle w:val="SchwacheHervorhebung"/>
                <w:rFonts w:ascii="TheSansOffice" w:hAnsi="TheSansOffice"/>
                <w:b w:val="0"/>
                <w:i w:val="0"/>
                <w:color w:val="auto"/>
                <w:sz w:val="24"/>
              </w:rPr>
            </w:pPr>
            <w:r w:rsidRPr="0014209A">
              <w:rPr>
                <w:rStyle w:val="SchwacheHervorhebung"/>
                <w:rFonts w:ascii="TheSansOffice" w:hAnsi="TheSansOffice"/>
                <w:b w:val="0"/>
                <w:i w:val="0"/>
                <w:color w:val="auto"/>
                <w:sz w:val="24"/>
              </w:rPr>
              <w:t>2. Kosten des benötigten Materials (Sachkosten)</w:t>
            </w:r>
          </w:p>
          <w:p w14:paraId="3480C7BC" w14:textId="77777777" w:rsidR="000B76E1" w:rsidRPr="0014209A" w:rsidRDefault="000B76E1" w:rsidP="000B76E1">
            <w:pPr>
              <w:pStyle w:val="Textkrper2"/>
              <w:rPr>
                <w:rStyle w:val="SchwacheHervorhebung"/>
                <w:rFonts w:ascii="TheSansOffice" w:hAnsi="TheSansOffice"/>
                <w:b w:val="0"/>
                <w:i w:val="0"/>
                <w:color w:val="auto"/>
                <w:sz w:val="24"/>
              </w:rPr>
            </w:pPr>
          </w:p>
          <w:p w14:paraId="4A04CD78" w14:textId="77777777" w:rsidR="00DC2901" w:rsidRPr="0014209A" w:rsidRDefault="00DC2901" w:rsidP="00DC2901">
            <w:pPr>
              <w:pStyle w:val="Textkrper2"/>
              <w:rPr>
                <w:rStyle w:val="SchwacheHervorhebung"/>
                <w:rFonts w:ascii="TheSansOffice" w:hAnsi="TheSansOffice"/>
                <w:b w:val="0"/>
                <w:i w:val="0"/>
                <w:color w:val="auto"/>
                <w:sz w:val="24"/>
              </w:rPr>
            </w:pPr>
            <w:r w:rsidRPr="0014209A">
              <w:rPr>
                <w:rStyle w:val="SchwacheHervorhebung"/>
                <w:rFonts w:ascii="TheSansOffice" w:hAnsi="TheSansOffice"/>
                <w:b w:val="0"/>
                <w:i w:val="0"/>
                <w:color w:val="auto"/>
                <w:sz w:val="24"/>
              </w:rPr>
              <w:t>Personalkosten:</w:t>
            </w:r>
          </w:p>
          <w:p w14:paraId="0D5C6E00" w14:textId="5861E06E" w:rsidR="00DC2901" w:rsidRPr="0014209A" w:rsidRDefault="00DC2901" w:rsidP="00DC2901">
            <w:pPr>
              <w:pStyle w:val="Textkrper2"/>
              <w:rPr>
                <w:rStyle w:val="SchwacheHervorhebung"/>
                <w:rFonts w:ascii="TheSansOffice" w:hAnsi="TheSansOffice"/>
                <w:b w:val="0"/>
                <w:i w:val="0"/>
                <w:color w:val="auto"/>
                <w:sz w:val="24"/>
              </w:rPr>
            </w:pPr>
            <w:r w:rsidRPr="0014209A">
              <w:rPr>
                <w:rStyle w:val="SchwacheHervorhebung"/>
                <w:rFonts w:ascii="TheSansOffice" w:hAnsi="TheSansOffice"/>
                <w:b w:val="0"/>
                <w:i w:val="0"/>
                <w:color w:val="auto"/>
                <w:sz w:val="24"/>
              </w:rPr>
              <w:t>Die Kosten der Durchführung sind vergleichbar mit den</w:t>
            </w:r>
            <w:r w:rsidR="00AD4C04">
              <w:rPr>
                <w:rStyle w:val="SchwacheHervorhebung"/>
                <w:rFonts w:ascii="TheSansOffice" w:hAnsi="TheSansOffice"/>
                <w:b w:val="0"/>
                <w:i w:val="0"/>
                <w:color w:val="auto"/>
                <w:sz w:val="24"/>
              </w:rPr>
              <w:t>en anderer Interventionen in der</w:t>
            </w:r>
            <w:r w:rsidRPr="0014209A">
              <w:rPr>
                <w:rStyle w:val="SchwacheHervorhebung"/>
                <w:rFonts w:ascii="TheSansOffice" w:hAnsi="TheSansOffice"/>
                <w:b w:val="0"/>
                <w:i w:val="0"/>
                <w:color w:val="auto"/>
                <w:sz w:val="24"/>
              </w:rPr>
              <w:t xml:space="preserve"> betroffenen DRG</w:t>
            </w:r>
            <w:r w:rsidR="00CC762F">
              <w:rPr>
                <w:rStyle w:val="SchwacheHervorhebung"/>
                <w:rFonts w:ascii="TheSansOffice" w:hAnsi="TheSansOffice"/>
                <w:b w:val="0"/>
                <w:i w:val="0"/>
                <w:color w:val="auto"/>
                <w:sz w:val="24"/>
              </w:rPr>
              <w:t xml:space="preserve"> H29Z</w:t>
            </w:r>
            <w:r w:rsidRPr="0014209A">
              <w:rPr>
                <w:rStyle w:val="SchwacheHervorhebung"/>
                <w:rFonts w:ascii="TheSansOffice" w:hAnsi="TheSansOffice"/>
                <w:b w:val="0"/>
                <w:i w:val="0"/>
                <w:color w:val="auto"/>
                <w:sz w:val="24"/>
              </w:rPr>
              <w:t xml:space="preserve"> und somit über die DRG-Vergütung abgebildet.</w:t>
            </w:r>
          </w:p>
          <w:p w14:paraId="2DF4A2E2" w14:textId="77777777" w:rsidR="00DC2901" w:rsidRDefault="00DC2901" w:rsidP="00DC2901">
            <w:pPr>
              <w:pStyle w:val="Textkrper2"/>
              <w:rPr>
                <w:rStyle w:val="SchwacheHervorhebung"/>
                <w:rFonts w:ascii="TheSansOffice" w:hAnsi="TheSansOffice"/>
                <w:b w:val="0"/>
                <w:i w:val="0"/>
                <w:color w:val="auto"/>
                <w:sz w:val="24"/>
              </w:rPr>
            </w:pPr>
          </w:p>
          <w:p w14:paraId="1D198A60" w14:textId="29AC6E37" w:rsidR="00DC2901" w:rsidRDefault="00DC2901" w:rsidP="00DC2901">
            <w:pPr>
              <w:pStyle w:val="Textkrper2"/>
              <w:rPr>
                <w:rStyle w:val="SchwacheHervorhebung"/>
                <w:rFonts w:ascii="TheSansOffice" w:hAnsi="TheSansOffice"/>
                <w:b w:val="0"/>
                <w:i w:val="0"/>
                <w:color w:val="auto"/>
                <w:sz w:val="24"/>
              </w:rPr>
            </w:pPr>
            <w:r w:rsidRPr="00964C3C">
              <w:rPr>
                <w:rStyle w:val="SchwacheHervorhebung"/>
                <w:rFonts w:ascii="TheSansOffice" w:hAnsi="TheSansOffice"/>
                <w:b w:val="0"/>
                <w:i w:val="0"/>
                <w:color w:val="auto"/>
                <w:sz w:val="24"/>
              </w:rPr>
              <w:t>Sachkosten:</w:t>
            </w:r>
          </w:p>
          <w:p w14:paraId="24545429" w14:textId="0753006F" w:rsidR="003A37E1" w:rsidRDefault="003A37E1" w:rsidP="00DC2901">
            <w:pPr>
              <w:pStyle w:val="Textkrper2"/>
              <w:rPr>
                <w:rStyle w:val="SchwacheHervorhebung"/>
                <w:rFonts w:ascii="TheSansOffice" w:hAnsi="TheSansOffice"/>
                <w:b w:val="0"/>
                <w:i w:val="0"/>
                <w:color w:val="auto"/>
                <w:sz w:val="24"/>
              </w:rPr>
            </w:pPr>
            <w:r>
              <w:rPr>
                <w:rStyle w:val="SchwacheHervorhebung"/>
                <w:rFonts w:ascii="TheSansOffice" w:hAnsi="TheSansOffice"/>
                <w:b w:val="0"/>
                <w:i w:val="0"/>
                <w:color w:val="auto"/>
                <w:sz w:val="24"/>
              </w:rPr>
              <w:t>In der DRG H29Z sind</w:t>
            </w:r>
            <w:r w:rsidR="003B003D">
              <w:rPr>
                <w:rStyle w:val="SchwacheHervorhebung"/>
                <w:rFonts w:ascii="TheSansOffice" w:hAnsi="TheSansOffice"/>
                <w:b w:val="0"/>
                <w:i w:val="0"/>
                <w:color w:val="auto"/>
                <w:sz w:val="24"/>
              </w:rPr>
              <w:t xml:space="preserve"> </w:t>
            </w:r>
            <w:proofErr w:type="spellStart"/>
            <w:r>
              <w:rPr>
                <w:rStyle w:val="SchwacheHervorhebung"/>
                <w:rFonts w:ascii="TheSansOffice" w:hAnsi="TheSansOffice"/>
                <w:b w:val="0"/>
                <w:i w:val="0"/>
                <w:color w:val="auto"/>
                <w:sz w:val="24"/>
              </w:rPr>
              <w:t>Implantatkosten</w:t>
            </w:r>
            <w:proofErr w:type="spellEnd"/>
            <w:r>
              <w:rPr>
                <w:rStyle w:val="SchwacheHervorhebung"/>
                <w:rFonts w:ascii="TheSansOffice" w:hAnsi="TheSansOffice"/>
                <w:b w:val="0"/>
                <w:i w:val="0"/>
                <w:color w:val="auto"/>
                <w:sz w:val="24"/>
              </w:rPr>
              <w:t xml:space="preserve"> von 104,38 € enthalten</w:t>
            </w:r>
            <w:r w:rsidR="003B003D">
              <w:rPr>
                <w:rStyle w:val="SchwacheHervorhebung"/>
                <w:rFonts w:ascii="TheSansOffice" w:hAnsi="TheSansOffice"/>
                <w:b w:val="0"/>
                <w:i w:val="0"/>
                <w:color w:val="auto"/>
                <w:sz w:val="24"/>
              </w:rPr>
              <w:t>.</w:t>
            </w:r>
            <w:r>
              <w:rPr>
                <w:rStyle w:val="SchwacheHervorhebung"/>
                <w:rFonts w:ascii="TheSansOffice" w:hAnsi="TheSansOffice"/>
                <w:b w:val="0"/>
                <w:i w:val="0"/>
                <w:color w:val="auto"/>
                <w:sz w:val="24"/>
              </w:rPr>
              <w:t xml:space="preserve"> </w:t>
            </w:r>
            <w:r w:rsidR="003B003D">
              <w:rPr>
                <w:rStyle w:val="SchwacheHervorhebung"/>
                <w:rFonts w:ascii="TheSansOffice" w:hAnsi="TheSansOffice"/>
                <w:b w:val="0"/>
                <w:i w:val="0"/>
                <w:color w:val="auto"/>
                <w:sz w:val="24"/>
              </w:rPr>
              <w:t>D</w:t>
            </w:r>
            <w:r w:rsidRPr="003A37E1">
              <w:rPr>
                <w:rStyle w:val="SchwacheHervorhebung"/>
                <w:rFonts w:ascii="TheSansOffice" w:hAnsi="TheSansOffice"/>
                <w:b w:val="0"/>
                <w:i w:val="0"/>
                <w:color w:val="auto"/>
                <w:sz w:val="24"/>
              </w:rPr>
              <w:t xml:space="preserve">a </w:t>
            </w:r>
            <w:r w:rsidR="003B003D">
              <w:rPr>
                <w:rStyle w:val="SchwacheHervorhebung"/>
                <w:rFonts w:ascii="TheSansOffice" w:hAnsi="TheSansOffice"/>
                <w:b w:val="0"/>
                <w:i w:val="0"/>
                <w:color w:val="auto"/>
                <w:sz w:val="24"/>
              </w:rPr>
              <w:t>in dieser DRG die</w:t>
            </w:r>
            <w:r w:rsidRPr="003A37E1">
              <w:rPr>
                <w:rStyle w:val="SchwacheHervorhebung"/>
                <w:rFonts w:ascii="TheSansOffice" w:hAnsi="TheSansOffice"/>
                <w:b w:val="0"/>
                <w:i w:val="0"/>
                <w:color w:val="auto"/>
                <w:sz w:val="24"/>
              </w:rPr>
              <w:t xml:space="preserve"> SIRT</w:t>
            </w:r>
            <w:r w:rsidR="003B003D">
              <w:rPr>
                <w:rStyle w:val="SchwacheHervorhebung"/>
                <w:rFonts w:ascii="TheSansOffice" w:hAnsi="TheSansOffice"/>
                <w:b w:val="0"/>
                <w:i w:val="0"/>
                <w:color w:val="auto"/>
                <w:sz w:val="24"/>
              </w:rPr>
              <w:t>-Verfahren mit anderen Mikrosphären</w:t>
            </w:r>
            <w:r w:rsidRPr="003A37E1">
              <w:rPr>
                <w:rStyle w:val="SchwacheHervorhebung"/>
                <w:rFonts w:ascii="TheSansOffice" w:hAnsi="TheSansOffice"/>
                <w:b w:val="0"/>
                <w:i w:val="0"/>
                <w:color w:val="auto"/>
                <w:sz w:val="24"/>
              </w:rPr>
              <w:t xml:space="preserve"> als Zusatzentgelt abgerechnet </w:t>
            </w:r>
            <w:r w:rsidR="003B003D">
              <w:rPr>
                <w:rStyle w:val="SchwacheHervorhebung"/>
                <w:rFonts w:ascii="TheSansOffice" w:hAnsi="TheSansOffice"/>
                <w:b w:val="0"/>
                <w:i w:val="0"/>
                <w:color w:val="auto"/>
                <w:sz w:val="24"/>
              </w:rPr>
              <w:t xml:space="preserve">werden, </w:t>
            </w:r>
            <w:r w:rsidRPr="003A37E1">
              <w:rPr>
                <w:rStyle w:val="SchwacheHervorhebung"/>
                <w:rFonts w:ascii="TheSansOffice" w:hAnsi="TheSansOffice"/>
                <w:b w:val="0"/>
                <w:i w:val="0"/>
                <w:color w:val="auto"/>
                <w:sz w:val="24"/>
              </w:rPr>
              <w:t xml:space="preserve">fallen </w:t>
            </w:r>
            <w:r w:rsidR="003B003D">
              <w:rPr>
                <w:rStyle w:val="SchwacheHervorhebung"/>
                <w:rFonts w:ascii="TheSansOffice" w:hAnsi="TheSansOffice"/>
                <w:b w:val="0"/>
                <w:i w:val="0"/>
                <w:color w:val="auto"/>
                <w:sz w:val="24"/>
              </w:rPr>
              <w:t xml:space="preserve">für die </w:t>
            </w:r>
            <w:r w:rsidRPr="003A37E1">
              <w:rPr>
                <w:rStyle w:val="SchwacheHervorhebung"/>
                <w:rFonts w:ascii="TheSansOffice" w:hAnsi="TheSansOffice"/>
                <w:b w:val="0"/>
                <w:i w:val="0"/>
                <w:color w:val="auto"/>
                <w:sz w:val="24"/>
              </w:rPr>
              <w:t>Holmium-166 Mikrosphären</w:t>
            </w:r>
            <w:r w:rsidR="003B003D">
              <w:rPr>
                <w:rStyle w:val="SchwacheHervorhebung"/>
                <w:rFonts w:ascii="TheSansOffice" w:hAnsi="TheSansOffice"/>
                <w:b w:val="0"/>
                <w:i w:val="0"/>
                <w:color w:val="auto"/>
                <w:sz w:val="24"/>
              </w:rPr>
              <w:t xml:space="preserve"> K</w:t>
            </w:r>
            <w:r w:rsidR="003B003D" w:rsidRPr="003A37E1">
              <w:rPr>
                <w:rStyle w:val="SchwacheHervorhebung"/>
                <w:rFonts w:ascii="TheSansOffice" w:hAnsi="TheSansOffice"/>
                <w:b w:val="0"/>
                <w:i w:val="0"/>
                <w:color w:val="auto"/>
                <w:sz w:val="24"/>
              </w:rPr>
              <w:t>osten</w:t>
            </w:r>
            <w:r w:rsidR="003B003D">
              <w:rPr>
                <w:rStyle w:val="SchwacheHervorhebung"/>
                <w:rFonts w:ascii="TheSansOffice" w:hAnsi="TheSansOffice"/>
                <w:b w:val="0"/>
                <w:i w:val="0"/>
                <w:color w:val="auto"/>
                <w:sz w:val="24"/>
              </w:rPr>
              <w:t xml:space="preserve"> in Höhe von</w:t>
            </w:r>
            <w:r w:rsidRPr="003A37E1">
              <w:rPr>
                <w:rStyle w:val="SchwacheHervorhebung"/>
                <w:rFonts w:ascii="TheSansOffice" w:hAnsi="TheSansOffice"/>
                <w:b w:val="0"/>
                <w:i w:val="0"/>
                <w:color w:val="auto"/>
                <w:sz w:val="24"/>
              </w:rPr>
              <w:t xml:space="preserve"> 15.900,00 € inkl. 7% </w:t>
            </w:r>
            <w:proofErr w:type="spellStart"/>
            <w:r>
              <w:rPr>
                <w:rStyle w:val="SchwacheHervorhebung"/>
                <w:rFonts w:ascii="TheSansOffice" w:hAnsi="TheSansOffice"/>
                <w:b w:val="0"/>
                <w:i w:val="0"/>
                <w:color w:val="auto"/>
                <w:sz w:val="24"/>
              </w:rPr>
              <w:t>U</w:t>
            </w:r>
            <w:r w:rsidR="003B003D">
              <w:rPr>
                <w:rStyle w:val="SchwacheHervorhebung"/>
                <w:rFonts w:ascii="TheSansOffice" w:hAnsi="TheSansOffice"/>
                <w:b w:val="0"/>
                <w:i w:val="0"/>
                <w:color w:val="auto"/>
                <w:sz w:val="24"/>
              </w:rPr>
              <w:t>St</w:t>
            </w:r>
            <w:proofErr w:type="spellEnd"/>
            <w:r w:rsidR="007E6736">
              <w:rPr>
                <w:rStyle w:val="SchwacheHervorhebung"/>
                <w:rFonts w:ascii="TheSansOffice" w:hAnsi="TheSansOffice"/>
                <w:b w:val="0"/>
                <w:i w:val="0"/>
                <w:color w:val="auto"/>
                <w:sz w:val="24"/>
              </w:rPr>
              <w:t>.</w:t>
            </w:r>
            <w:r w:rsidR="003B003D">
              <w:rPr>
                <w:rStyle w:val="SchwacheHervorhebung"/>
                <w:rFonts w:ascii="TheSansOffice" w:hAnsi="TheSansOffice"/>
                <w:b w:val="0"/>
                <w:i w:val="0"/>
                <w:color w:val="auto"/>
                <w:sz w:val="24"/>
              </w:rPr>
              <w:t xml:space="preserve"> an.</w:t>
            </w:r>
          </w:p>
          <w:p w14:paraId="522D7C84" w14:textId="77777777" w:rsidR="003A37E1" w:rsidRDefault="003A37E1" w:rsidP="00DC2901">
            <w:pPr>
              <w:pStyle w:val="Textkrper2"/>
              <w:rPr>
                <w:rStyle w:val="SchwacheHervorhebung"/>
                <w:rFonts w:ascii="TheSansOffice" w:hAnsi="TheSansOffice"/>
                <w:b w:val="0"/>
                <w:i w:val="0"/>
                <w:color w:val="auto"/>
                <w:sz w:val="24"/>
              </w:rPr>
            </w:pPr>
          </w:p>
          <w:p w14:paraId="2C9A316A" w14:textId="6CAB3443" w:rsidR="00CC762F" w:rsidRDefault="003A37E1" w:rsidP="003A37E1">
            <w:pPr>
              <w:pStyle w:val="Textkrper2"/>
              <w:rPr>
                <w:rStyle w:val="SchwacheHervorhebung"/>
                <w:rFonts w:ascii="TheSansOffice" w:hAnsi="TheSansOffice"/>
                <w:b w:val="0"/>
                <w:i w:val="0"/>
                <w:color w:val="auto"/>
                <w:sz w:val="24"/>
              </w:rPr>
            </w:pPr>
            <w:r w:rsidRPr="003A37E1">
              <w:rPr>
                <w:rStyle w:val="SchwacheHervorhebung"/>
                <w:rFonts w:ascii="TheSansOffice" w:hAnsi="TheSansOffice"/>
                <w:b w:val="0"/>
                <w:i w:val="0"/>
                <w:color w:val="auto"/>
                <w:sz w:val="24"/>
              </w:rPr>
              <w:t>Werden</w:t>
            </w:r>
            <w:r w:rsidR="003B003D">
              <w:rPr>
                <w:rStyle w:val="SchwacheHervorhebung"/>
                <w:rFonts w:ascii="TheSansOffice" w:hAnsi="TheSansOffice"/>
                <w:b w:val="0"/>
                <w:i w:val="0"/>
                <w:color w:val="auto"/>
                <w:sz w:val="24"/>
              </w:rPr>
              <w:t xml:space="preserve"> </w:t>
            </w:r>
            <w:r w:rsidRPr="003A37E1">
              <w:rPr>
                <w:rStyle w:val="SchwacheHervorhebung"/>
                <w:rFonts w:ascii="TheSansOffice" w:hAnsi="TheSansOffice"/>
                <w:b w:val="0"/>
                <w:i w:val="0"/>
                <w:color w:val="auto"/>
                <w:sz w:val="24"/>
              </w:rPr>
              <w:t xml:space="preserve">Holmium-166 beladene Partikel zur Therapieplanung (Scout Dose) verwendet, </w:t>
            </w:r>
            <w:r w:rsidR="003B003D">
              <w:rPr>
                <w:rStyle w:val="SchwacheHervorhebung"/>
                <w:rFonts w:ascii="TheSansOffice" w:hAnsi="TheSansOffice"/>
                <w:b w:val="0"/>
                <w:i w:val="0"/>
                <w:color w:val="auto"/>
                <w:sz w:val="24"/>
              </w:rPr>
              <w:t>ergeben sich</w:t>
            </w:r>
            <w:r>
              <w:rPr>
                <w:rStyle w:val="SchwacheHervorhebung"/>
                <w:rFonts w:ascii="TheSansOffice" w:hAnsi="TheSansOffice"/>
                <w:b w:val="0"/>
                <w:i w:val="0"/>
                <w:color w:val="auto"/>
                <w:sz w:val="24"/>
              </w:rPr>
              <w:t xml:space="preserve"> zusätzliche Kosten</w:t>
            </w:r>
            <w:r w:rsidRPr="003A37E1">
              <w:rPr>
                <w:rStyle w:val="SchwacheHervorhebung"/>
                <w:rFonts w:ascii="TheSansOffice" w:hAnsi="TheSansOffice"/>
                <w:b w:val="0"/>
                <w:i w:val="0"/>
                <w:color w:val="auto"/>
                <w:sz w:val="24"/>
              </w:rPr>
              <w:t xml:space="preserve"> von 4.800,00 € inkl. 7%</w:t>
            </w:r>
            <w:r>
              <w:rPr>
                <w:rStyle w:val="SchwacheHervorhebung"/>
                <w:rFonts w:ascii="TheSansOffice" w:hAnsi="TheSansOffice"/>
                <w:b w:val="0"/>
                <w:i w:val="0"/>
                <w:color w:val="auto"/>
                <w:sz w:val="24"/>
              </w:rPr>
              <w:t xml:space="preserve"> </w:t>
            </w:r>
            <w:proofErr w:type="spellStart"/>
            <w:r>
              <w:rPr>
                <w:rStyle w:val="SchwacheHervorhebung"/>
                <w:rFonts w:ascii="TheSansOffice" w:hAnsi="TheSansOffice"/>
                <w:b w:val="0"/>
                <w:i w:val="0"/>
                <w:color w:val="auto"/>
                <w:sz w:val="24"/>
              </w:rPr>
              <w:t>USt</w:t>
            </w:r>
            <w:proofErr w:type="spellEnd"/>
            <w:r>
              <w:rPr>
                <w:rStyle w:val="SchwacheHervorhebung"/>
                <w:rFonts w:ascii="TheSansOffice" w:hAnsi="TheSansOffice"/>
                <w:b w:val="0"/>
                <w:i w:val="0"/>
                <w:color w:val="auto"/>
                <w:sz w:val="24"/>
              </w:rPr>
              <w:t>.</w:t>
            </w:r>
            <w:r w:rsidR="004500A5">
              <w:rPr>
                <w:rStyle w:val="SchwacheHervorhebung"/>
                <w:rFonts w:ascii="TheSansOffice" w:hAnsi="TheSansOffice"/>
                <w:b w:val="0"/>
                <w:i w:val="0"/>
                <w:color w:val="auto"/>
                <w:sz w:val="24"/>
              </w:rPr>
              <w:t xml:space="preserve"> In diesem Fall belaufen sich die Mehrkosten auf insgesamt 20.700,00 € inkl. 7% </w:t>
            </w:r>
            <w:proofErr w:type="spellStart"/>
            <w:r w:rsidR="004500A5">
              <w:rPr>
                <w:rStyle w:val="SchwacheHervorhebung"/>
                <w:rFonts w:ascii="TheSansOffice" w:hAnsi="TheSansOffice"/>
                <w:b w:val="0"/>
                <w:i w:val="0"/>
                <w:color w:val="auto"/>
                <w:sz w:val="24"/>
              </w:rPr>
              <w:t>USt</w:t>
            </w:r>
            <w:proofErr w:type="spellEnd"/>
            <w:r w:rsidR="004500A5">
              <w:rPr>
                <w:rStyle w:val="SchwacheHervorhebung"/>
                <w:rFonts w:ascii="TheSansOffice" w:hAnsi="TheSansOffice"/>
                <w:b w:val="0"/>
                <w:i w:val="0"/>
                <w:color w:val="auto"/>
                <w:sz w:val="24"/>
              </w:rPr>
              <w:t>.</w:t>
            </w:r>
          </w:p>
          <w:p w14:paraId="64821A00" w14:textId="77777777" w:rsidR="003A37E1" w:rsidRDefault="003A37E1" w:rsidP="00DC2901">
            <w:pPr>
              <w:pStyle w:val="Textkrper2"/>
              <w:rPr>
                <w:rStyle w:val="SchwacheHervorhebung"/>
                <w:rFonts w:ascii="TheSansOffice" w:hAnsi="TheSansOffice"/>
                <w:b w:val="0"/>
                <w:i w:val="0"/>
                <w:color w:val="auto"/>
                <w:sz w:val="24"/>
              </w:rPr>
            </w:pPr>
          </w:p>
          <w:p w14:paraId="05C9682D" w14:textId="366228D7" w:rsidR="003A37E1" w:rsidRPr="003A37E1" w:rsidRDefault="003A37E1" w:rsidP="003A37E1">
            <w:pPr>
              <w:pStyle w:val="Textkrper2"/>
              <w:rPr>
                <w:rStyle w:val="SchwacheHervorhebung"/>
                <w:rFonts w:ascii="TheSansOffice" w:hAnsi="TheSansOffice"/>
                <w:b w:val="0"/>
                <w:i w:val="0"/>
                <w:color w:val="auto"/>
                <w:sz w:val="24"/>
              </w:rPr>
            </w:pPr>
            <w:r w:rsidRPr="003A37E1">
              <w:rPr>
                <w:rStyle w:val="SchwacheHervorhebung"/>
                <w:rFonts w:ascii="TheSansOffice" w:hAnsi="TheSansOffice"/>
                <w:b w:val="0"/>
                <w:i w:val="0"/>
                <w:color w:val="auto"/>
                <w:sz w:val="24"/>
              </w:rPr>
              <w:t>Ausschlaggebend ist, dass alle bisherigen Verfahren mit Yttium-90 und Rhenium-188 markierten Mikrosphären mit einem individuell zu verhandelndem Zusatzentgelt</w:t>
            </w:r>
            <w:r w:rsidR="007E6736">
              <w:rPr>
                <w:rStyle w:val="SchwacheHervorhebung"/>
                <w:rFonts w:ascii="TheSansOffice" w:hAnsi="TheSansOffice"/>
                <w:b w:val="0"/>
                <w:i w:val="0"/>
                <w:color w:val="auto"/>
                <w:sz w:val="24"/>
              </w:rPr>
              <w:t xml:space="preserve"> (derzeit ZE2018-65)</w:t>
            </w:r>
            <w:r w:rsidRPr="003A37E1">
              <w:rPr>
                <w:rStyle w:val="SchwacheHervorhebung"/>
                <w:rFonts w:ascii="TheSansOffice" w:hAnsi="TheSansOffice"/>
                <w:b w:val="0"/>
                <w:i w:val="0"/>
                <w:color w:val="auto"/>
                <w:sz w:val="24"/>
              </w:rPr>
              <w:t xml:space="preserve"> vergütet werden.</w:t>
            </w:r>
            <w:r w:rsidR="007E6736">
              <w:rPr>
                <w:rStyle w:val="SchwacheHervorhebung"/>
                <w:rFonts w:ascii="TheSansOffice" w:hAnsi="TheSansOffice"/>
                <w:b w:val="0"/>
                <w:i w:val="0"/>
                <w:color w:val="auto"/>
                <w:sz w:val="24"/>
              </w:rPr>
              <w:t xml:space="preserve"> Für Holmium-166 besteht bislang die Möglichkeit ein NUB-Entgelt zu verhandeln, dies ist jedoch aus Gründen der Gleichbehandlung nicht nachvollziehbar.</w:t>
            </w:r>
          </w:p>
          <w:p w14:paraId="6E2C61B7" w14:textId="1AAE4059" w:rsidR="003A37E1" w:rsidRPr="0014209A" w:rsidRDefault="003A37E1" w:rsidP="003A37E1">
            <w:pPr>
              <w:pStyle w:val="Textkrper2"/>
              <w:rPr>
                <w:rStyle w:val="SchwacheHervorhebung"/>
                <w:rFonts w:ascii="TheSansOffice" w:hAnsi="TheSansOffice"/>
                <w:b w:val="0"/>
                <w:i w:val="0"/>
                <w:color w:val="auto"/>
                <w:sz w:val="24"/>
              </w:rPr>
            </w:pPr>
            <w:r w:rsidRPr="003A37E1">
              <w:rPr>
                <w:rStyle w:val="SchwacheHervorhebung"/>
                <w:rFonts w:ascii="TheSansOffice" w:hAnsi="TheSansOffice"/>
                <w:b w:val="0"/>
                <w:i w:val="0"/>
                <w:color w:val="auto"/>
                <w:sz w:val="24"/>
              </w:rPr>
              <w:t xml:space="preserve">Überprüft man die Antragsfolge für die beiden vorausgehenden Verfahren, so erhielt das Verfahren mit Yttrium-90 in 2006 und 2007 einen NUB-Status 1 und das </w:t>
            </w:r>
            <w:proofErr w:type="spellStart"/>
            <w:r w:rsidRPr="003A37E1">
              <w:rPr>
                <w:rStyle w:val="SchwacheHervorhebung"/>
                <w:rFonts w:ascii="TheSansOffice" w:hAnsi="TheSansOffice"/>
                <w:b w:val="0"/>
                <w:i w:val="0"/>
                <w:color w:val="auto"/>
                <w:sz w:val="24"/>
              </w:rPr>
              <w:t>unbewertete</w:t>
            </w:r>
            <w:proofErr w:type="spellEnd"/>
            <w:r w:rsidRPr="003A37E1">
              <w:rPr>
                <w:rStyle w:val="SchwacheHervorhebung"/>
                <w:rFonts w:ascii="TheSansOffice" w:hAnsi="TheSansOffice"/>
                <w:b w:val="0"/>
                <w:i w:val="0"/>
                <w:color w:val="auto"/>
                <w:sz w:val="24"/>
              </w:rPr>
              <w:t xml:space="preserve"> ZE20xx-65 ab 2008. Das Verfahren mit Rhenium-188 erhielt in 2009 NUB Status 1 und in 2010 ebenfalls das </w:t>
            </w:r>
            <w:proofErr w:type="spellStart"/>
            <w:r w:rsidRPr="003A37E1">
              <w:rPr>
                <w:rStyle w:val="SchwacheHervorhebung"/>
                <w:rFonts w:ascii="TheSansOffice" w:hAnsi="TheSansOffice"/>
                <w:b w:val="0"/>
                <w:i w:val="0"/>
                <w:color w:val="auto"/>
                <w:sz w:val="24"/>
              </w:rPr>
              <w:t>unbewertete</w:t>
            </w:r>
            <w:proofErr w:type="spellEnd"/>
            <w:r w:rsidRPr="003A37E1">
              <w:rPr>
                <w:rStyle w:val="SchwacheHervorhebung"/>
                <w:rFonts w:ascii="TheSansOffice" w:hAnsi="TheSansOffice"/>
                <w:b w:val="0"/>
                <w:i w:val="0"/>
                <w:color w:val="auto"/>
                <w:sz w:val="24"/>
              </w:rPr>
              <w:t xml:space="preserve"> ZE20xx-65.</w:t>
            </w:r>
          </w:p>
          <w:p w14:paraId="49839AFB" w14:textId="77777777" w:rsidR="003C642D" w:rsidRDefault="003C642D" w:rsidP="00DC2901">
            <w:pPr>
              <w:pStyle w:val="Textkrper2"/>
              <w:rPr>
                <w:rStyle w:val="SchwacheHervorhebung"/>
                <w:rFonts w:ascii="TheSansOffice" w:hAnsi="TheSansOffice"/>
                <w:b w:val="0"/>
                <w:i w:val="0"/>
              </w:rPr>
            </w:pPr>
          </w:p>
          <w:p w14:paraId="5D0A6923" w14:textId="6EC5A3D5" w:rsidR="00D40C59" w:rsidRPr="00EE20DA" w:rsidRDefault="00D40C59" w:rsidP="00DC2901">
            <w:pPr>
              <w:pStyle w:val="Textkrper2"/>
              <w:rPr>
                <w:rStyle w:val="SchwacheHervorhebung"/>
                <w:rFonts w:ascii="TheSansOffice" w:hAnsi="TheSansOffice"/>
                <w:b w:val="0"/>
                <w:i w:val="0"/>
                <w:color w:val="auto"/>
                <w:sz w:val="24"/>
              </w:rPr>
            </w:pPr>
            <w:r w:rsidRPr="0014209A">
              <w:rPr>
                <w:rStyle w:val="SchwacheHervorhebung"/>
                <w:rFonts w:ascii="TheSansOffice" w:hAnsi="TheSansOffice"/>
                <w:b w:val="0"/>
                <w:i w:val="0"/>
                <w:color w:val="auto"/>
                <w:sz w:val="24"/>
              </w:rPr>
              <w:t>Bei Methoden welche bestehende Verfahren ablösen kommt üblicherweise das Verfahren der Differenzkostenrechnung zum Einsatz.</w:t>
            </w:r>
          </w:p>
        </w:tc>
      </w:tr>
      <w:tr w:rsidR="00724255" w:rsidRPr="00484A24" w14:paraId="6F48E26F" w14:textId="77777777" w:rsidTr="00C8220C">
        <w:tc>
          <w:tcPr>
            <w:tcW w:w="9062" w:type="dxa"/>
            <w:shd w:val="clear" w:color="auto" w:fill="DAEEF3" w:themeFill="accent5" w:themeFillTint="33"/>
          </w:tcPr>
          <w:p w14:paraId="36BC4251" w14:textId="77777777" w:rsidR="00724255" w:rsidRPr="00484A24" w:rsidRDefault="006F2000" w:rsidP="00724255">
            <w:pPr>
              <w:pStyle w:val="Textkrper2"/>
              <w:rPr>
                <w:rFonts w:ascii="TheSansOffice" w:hAnsi="TheSansOffice"/>
                <w:sz w:val="24"/>
              </w:rPr>
            </w:pPr>
            <w:r w:rsidRPr="00484A24">
              <w:rPr>
                <w:rFonts w:ascii="TheSansOffice" w:hAnsi="TheSansOffice"/>
                <w:sz w:val="24"/>
              </w:rPr>
              <w:t>W</w:t>
            </w:r>
            <w:r w:rsidR="00072F2B">
              <w:rPr>
                <w:rFonts w:ascii="TheSansOffice" w:hAnsi="TheSansOffice"/>
                <w:sz w:val="24"/>
              </w:rPr>
              <w:t>elche DRG(s) ist(</w:t>
            </w:r>
            <w:r w:rsidR="00724255" w:rsidRPr="00484A24">
              <w:rPr>
                <w:rFonts w:ascii="TheSansOffice" w:hAnsi="TheSansOffice"/>
                <w:sz w:val="24"/>
              </w:rPr>
              <w:t>sind</w:t>
            </w:r>
            <w:r w:rsidR="00072F2B">
              <w:rPr>
                <w:rFonts w:ascii="TheSansOffice" w:hAnsi="TheSansOffice"/>
                <w:sz w:val="24"/>
              </w:rPr>
              <w:t>)</w:t>
            </w:r>
            <w:r w:rsidR="00724255" w:rsidRPr="00484A24">
              <w:rPr>
                <w:rFonts w:ascii="TheSansOffice" w:hAnsi="TheSansOffice"/>
                <w:sz w:val="24"/>
              </w:rPr>
              <w:t xml:space="preserve"> am häufigsten von dieser Methode betroffen?</w:t>
            </w:r>
          </w:p>
        </w:tc>
      </w:tr>
      <w:tr w:rsidR="00724255" w:rsidRPr="00484A24" w14:paraId="23F0E7AA" w14:textId="77777777" w:rsidTr="00C8220C">
        <w:tc>
          <w:tcPr>
            <w:tcW w:w="9062" w:type="dxa"/>
            <w:shd w:val="clear" w:color="auto" w:fill="auto"/>
          </w:tcPr>
          <w:p w14:paraId="5A23A154" w14:textId="538A71AD" w:rsidR="00CE56F6" w:rsidRPr="00484A24" w:rsidRDefault="00AD4C04" w:rsidP="004E761E">
            <w:pPr>
              <w:rPr>
                <w:rFonts w:ascii="TheSansOffice" w:hAnsi="TheSansOffice" w:cs="Arial"/>
              </w:rPr>
            </w:pPr>
            <w:r>
              <w:rPr>
                <w:rFonts w:ascii="TheSansOffice" w:hAnsi="TheSansOffice" w:cs="Arial"/>
              </w:rPr>
              <w:t>H29Z</w:t>
            </w:r>
          </w:p>
        </w:tc>
      </w:tr>
      <w:tr w:rsidR="006F2000" w:rsidRPr="00484A24" w14:paraId="0E38A8A3" w14:textId="77777777" w:rsidTr="00C8220C">
        <w:tc>
          <w:tcPr>
            <w:tcW w:w="9062" w:type="dxa"/>
            <w:shd w:val="clear" w:color="auto" w:fill="DAEEF3" w:themeFill="accent5" w:themeFillTint="33"/>
          </w:tcPr>
          <w:p w14:paraId="6BF4178F" w14:textId="77777777" w:rsidR="006F2000" w:rsidRPr="00484A24" w:rsidRDefault="006F2000" w:rsidP="004E761E">
            <w:pPr>
              <w:rPr>
                <w:rFonts w:ascii="TheSansOffice" w:hAnsi="TheSansOffice" w:cs="Arial"/>
                <w:b/>
                <w:bCs/>
              </w:rPr>
            </w:pPr>
            <w:r w:rsidRPr="00484A24">
              <w:rPr>
                <w:rFonts w:ascii="TheSansOffice" w:hAnsi="TheSansOffice" w:cs="Arial"/>
                <w:b/>
                <w:bCs/>
              </w:rPr>
              <w:t>Warum ist diese Methode aus Ihrer Sicht derzeit im G-DRG-System nicht sachgerecht abgebildet?*</w:t>
            </w:r>
          </w:p>
        </w:tc>
      </w:tr>
      <w:tr w:rsidR="006F2000" w:rsidRPr="00484A24" w14:paraId="55690367" w14:textId="77777777" w:rsidTr="00C8220C">
        <w:tc>
          <w:tcPr>
            <w:tcW w:w="9062" w:type="dxa"/>
            <w:shd w:val="clear" w:color="auto" w:fill="auto"/>
          </w:tcPr>
          <w:p w14:paraId="2EAA270B" w14:textId="77777777" w:rsidR="006A0963" w:rsidRPr="00034D7E" w:rsidRDefault="006A0963" w:rsidP="006A0963">
            <w:pPr>
              <w:pStyle w:val="Textkrper2"/>
              <w:rPr>
                <w:rFonts w:ascii="TheSansOffice" w:hAnsi="TheSansOffice"/>
                <w:b w:val="0"/>
                <w:bCs w:val="0"/>
                <w:sz w:val="24"/>
              </w:rPr>
            </w:pPr>
            <w:r w:rsidRPr="00034D7E">
              <w:rPr>
                <w:rFonts w:ascii="TheSansOffice" w:hAnsi="TheSansOffice"/>
                <w:b w:val="0"/>
                <w:bCs w:val="0"/>
                <w:sz w:val="24"/>
              </w:rPr>
              <w:lastRenderedPageBreak/>
              <w:t>Die sachgerechte Abbildung im DRG System wird mit folgenden Fragen überprüft:</w:t>
            </w:r>
          </w:p>
          <w:p w14:paraId="50A8A2D1" w14:textId="77777777" w:rsidR="006A0963" w:rsidRPr="00034D7E" w:rsidRDefault="006A0963" w:rsidP="006A0963">
            <w:pPr>
              <w:pStyle w:val="Textkrper2"/>
              <w:rPr>
                <w:rFonts w:ascii="TheSansOffice" w:hAnsi="TheSansOffice"/>
                <w:b w:val="0"/>
                <w:bCs w:val="0"/>
                <w:sz w:val="24"/>
              </w:rPr>
            </w:pPr>
            <w:r>
              <w:rPr>
                <w:rFonts w:ascii="TheSansOffice" w:hAnsi="TheSansOffice"/>
                <w:b w:val="0"/>
                <w:bCs w:val="0"/>
                <w:sz w:val="24"/>
              </w:rPr>
              <w:t xml:space="preserve">- </w:t>
            </w:r>
            <w:r w:rsidRPr="00034D7E">
              <w:rPr>
                <w:rFonts w:ascii="TheSansOffice" w:hAnsi="TheSansOffice"/>
                <w:b w:val="0"/>
                <w:bCs w:val="0"/>
                <w:sz w:val="24"/>
              </w:rPr>
              <w:t>Verursacht die Methode erhebliche Mehrkosten?</w:t>
            </w:r>
          </w:p>
          <w:p w14:paraId="707B1340" w14:textId="77777777" w:rsidR="006A0963" w:rsidRPr="00034D7E" w:rsidRDefault="006A0963" w:rsidP="006A0963">
            <w:pPr>
              <w:pStyle w:val="Textkrper2"/>
              <w:rPr>
                <w:rFonts w:ascii="TheSansOffice" w:hAnsi="TheSansOffice"/>
                <w:b w:val="0"/>
                <w:bCs w:val="0"/>
                <w:sz w:val="24"/>
              </w:rPr>
            </w:pPr>
            <w:r>
              <w:rPr>
                <w:rFonts w:ascii="TheSansOffice" w:hAnsi="TheSansOffice"/>
                <w:b w:val="0"/>
                <w:bCs w:val="0"/>
                <w:sz w:val="24"/>
              </w:rPr>
              <w:t xml:space="preserve">- </w:t>
            </w:r>
            <w:r w:rsidRPr="00034D7E">
              <w:rPr>
                <w:rFonts w:ascii="TheSansOffice" w:hAnsi="TheSansOffice"/>
                <w:b w:val="0"/>
                <w:bCs w:val="0"/>
                <w:sz w:val="24"/>
              </w:rPr>
              <w:t>Liegt bei Nicht-Finanzierung der Methode eine Schieflage in der Leistungserbringung vor?</w:t>
            </w:r>
          </w:p>
          <w:p w14:paraId="3C9E6A99" w14:textId="77777777" w:rsidR="006A0963" w:rsidRDefault="006A0963" w:rsidP="006A0963">
            <w:pPr>
              <w:pStyle w:val="Textkrper2"/>
              <w:rPr>
                <w:rFonts w:ascii="TheSansOffice" w:hAnsi="TheSansOffice"/>
                <w:b w:val="0"/>
                <w:bCs w:val="0"/>
                <w:sz w:val="24"/>
              </w:rPr>
            </w:pPr>
          </w:p>
          <w:p w14:paraId="246C3C3C" w14:textId="77777777" w:rsidR="006A0963" w:rsidRPr="007A7806" w:rsidRDefault="006A0963" w:rsidP="006A0963">
            <w:pPr>
              <w:pStyle w:val="Textkrper2"/>
              <w:rPr>
                <w:rFonts w:ascii="TheSansOffice" w:hAnsi="TheSansOffice"/>
                <w:b w:val="0"/>
                <w:bCs w:val="0"/>
                <w:sz w:val="24"/>
                <w:u w:val="single"/>
              </w:rPr>
            </w:pPr>
            <w:r w:rsidRPr="007A7806">
              <w:rPr>
                <w:rFonts w:ascii="TheSansOffice" w:hAnsi="TheSansOffice"/>
                <w:b w:val="0"/>
                <w:bCs w:val="0"/>
                <w:sz w:val="24"/>
                <w:u w:val="single"/>
              </w:rPr>
              <w:t>Mehrkosten</w:t>
            </w:r>
          </w:p>
          <w:p w14:paraId="28A13E88" w14:textId="59930CD3" w:rsidR="006A0963" w:rsidRPr="00034D7E" w:rsidRDefault="006A0963" w:rsidP="004500A5">
            <w:pPr>
              <w:pStyle w:val="Textkrper2"/>
              <w:rPr>
                <w:rFonts w:ascii="TheSansOffice" w:hAnsi="TheSansOffice"/>
                <w:b w:val="0"/>
                <w:bCs w:val="0"/>
                <w:sz w:val="24"/>
              </w:rPr>
            </w:pPr>
            <w:r w:rsidRPr="00034D7E">
              <w:rPr>
                <w:rFonts w:ascii="TheSansOffice" w:hAnsi="TheSansOffice"/>
                <w:b w:val="0"/>
                <w:bCs w:val="0"/>
                <w:sz w:val="24"/>
              </w:rPr>
              <w:t>Mehrkosten gelten als erheblich, wenn</w:t>
            </w:r>
            <w:r w:rsidR="004500A5">
              <w:rPr>
                <w:rFonts w:ascii="TheSansOffice" w:hAnsi="TheSansOffice"/>
                <w:b w:val="0"/>
                <w:bCs w:val="0"/>
                <w:sz w:val="24"/>
              </w:rPr>
              <w:t xml:space="preserve"> </w:t>
            </w:r>
            <w:r w:rsidRPr="00034D7E">
              <w:rPr>
                <w:rFonts w:ascii="TheSansOffice" w:hAnsi="TheSansOffice"/>
                <w:b w:val="0"/>
                <w:bCs w:val="0"/>
                <w:sz w:val="24"/>
              </w:rPr>
              <w:t>d</w:t>
            </w:r>
            <w:r>
              <w:rPr>
                <w:rFonts w:ascii="TheSansOffice" w:hAnsi="TheSansOffice"/>
                <w:b w:val="0"/>
                <w:bCs w:val="0"/>
                <w:sz w:val="24"/>
              </w:rPr>
              <w:t>ie Mehrkosten 100</w:t>
            </w:r>
            <w:r w:rsidRPr="00034D7E">
              <w:rPr>
                <w:rFonts w:ascii="TheSansOffice" w:hAnsi="TheSansOffice"/>
                <w:b w:val="0"/>
                <w:bCs w:val="0"/>
                <w:sz w:val="24"/>
              </w:rPr>
              <w:t>% der</w:t>
            </w:r>
            <w:r w:rsidR="00D40C59">
              <w:rPr>
                <w:rFonts w:ascii="TheSansOffice" w:hAnsi="TheSansOffice"/>
                <w:b w:val="0"/>
                <w:bCs w:val="0"/>
                <w:sz w:val="24"/>
              </w:rPr>
              <w:t xml:space="preserve"> </w:t>
            </w:r>
            <w:r w:rsidR="00D40C59" w:rsidRPr="008D479D">
              <w:rPr>
                <w:rFonts w:ascii="TheSansOffice" w:hAnsi="TheSansOffice"/>
                <w:b w:val="0"/>
                <w:bCs w:val="0"/>
                <w:sz w:val="24"/>
              </w:rPr>
              <w:t>Stand</w:t>
            </w:r>
            <w:r w:rsidR="00D40C59">
              <w:rPr>
                <w:rFonts w:ascii="TheSansOffice" w:hAnsi="TheSansOffice"/>
                <w:b w:val="0"/>
                <w:bCs w:val="0"/>
                <w:sz w:val="24"/>
              </w:rPr>
              <w:t>ardabweichung (STD)</w:t>
            </w:r>
            <w:r w:rsidRPr="00034D7E">
              <w:rPr>
                <w:rFonts w:ascii="TheSansOffice" w:hAnsi="TheSansOffice"/>
                <w:b w:val="0"/>
                <w:bCs w:val="0"/>
                <w:sz w:val="24"/>
              </w:rPr>
              <w:t xml:space="preserve"> der jeweiligen </w:t>
            </w:r>
            <w:r>
              <w:rPr>
                <w:rFonts w:ascii="TheSansOffice" w:hAnsi="TheSansOffice"/>
                <w:b w:val="0"/>
                <w:bCs w:val="0"/>
                <w:sz w:val="24"/>
              </w:rPr>
              <w:t>DRG erreichen.</w:t>
            </w:r>
            <w:r w:rsidR="004500A5" w:rsidRPr="00034D7E">
              <w:rPr>
                <w:rFonts w:ascii="TheSansOffice" w:hAnsi="TheSansOffice"/>
                <w:b w:val="0"/>
                <w:bCs w:val="0"/>
                <w:sz w:val="24"/>
              </w:rPr>
              <w:t xml:space="preserve"> </w:t>
            </w:r>
          </w:p>
          <w:p w14:paraId="4CE8B87A" w14:textId="77777777" w:rsidR="006A0963" w:rsidRDefault="006A0963" w:rsidP="006A0963">
            <w:pPr>
              <w:pStyle w:val="Textkrper2"/>
              <w:rPr>
                <w:rFonts w:ascii="TheSansOffice" w:hAnsi="TheSansOffice"/>
                <w:b w:val="0"/>
                <w:bCs w:val="0"/>
                <w:sz w:val="24"/>
              </w:rPr>
            </w:pPr>
          </w:p>
          <w:p w14:paraId="247DCC80" w14:textId="7A0BC8A4" w:rsidR="004500A5" w:rsidRDefault="004500A5" w:rsidP="004500A5">
            <w:pPr>
              <w:pStyle w:val="Textkrper2"/>
              <w:rPr>
                <w:rFonts w:ascii="TheSansOffice" w:hAnsi="TheSansOffice"/>
                <w:b w:val="0"/>
                <w:bCs w:val="0"/>
                <w:sz w:val="24"/>
              </w:rPr>
            </w:pPr>
            <w:r w:rsidRPr="00472871">
              <w:rPr>
                <w:rFonts w:ascii="TheSansOffice" w:hAnsi="TheSansOffice"/>
                <w:b w:val="0"/>
                <w:bCs w:val="0"/>
                <w:sz w:val="24"/>
              </w:rPr>
              <w:t>Wie oben</w:t>
            </w:r>
            <w:r w:rsidRPr="008D479D">
              <w:rPr>
                <w:rFonts w:ascii="TheSansOffice" w:hAnsi="TheSansOffice"/>
                <w:b w:val="0"/>
                <w:bCs w:val="0"/>
                <w:sz w:val="24"/>
              </w:rPr>
              <w:t xml:space="preserve"> gezeigt, belaufen s</w:t>
            </w:r>
            <w:r>
              <w:rPr>
                <w:rFonts w:ascii="TheSansOffice" w:hAnsi="TheSansOffice"/>
                <w:b w:val="0"/>
                <w:bCs w:val="0"/>
                <w:sz w:val="24"/>
              </w:rPr>
              <w:t>ich die Mehrkosten</w:t>
            </w:r>
            <w:r w:rsidR="00036E50">
              <w:rPr>
                <w:rFonts w:ascii="TheSansOffice" w:hAnsi="TheSansOffice"/>
                <w:b w:val="0"/>
                <w:bCs w:val="0"/>
                <w:sz w:val="24"/>
              </w:rPr>
              <w:t xml:space="preserve"> (</w:t>
            </w:r>
            <w:r w:rsidR="0016698D">
              <w:rPr>
                <w:rFonts w:ascii="TheSansOffice" w:hAnsi="TheSansOffice"/>
                <w:b w:val="0"/>
                <w:bCs w:val="0"/>
                <w:sz w:val="24"/>
              </w:rPr>
              <w:t xml:space="preserve">im Kostenmodul 9.5 </w:t>
            </w:r>
            <w:r w:rsidR="0016698D" w:rsidRPr="0016698D">
              <w:rPr>
                <w:rFonts w:ascii="TheSansOffice" w:hAnsi="TheSansOffice"/>
                <w:b w:val="0"/>
                <w:bCs w:val="0"/>
                <w:sz w:val="24"/>
              </w:rPr>
              <w:t>Radiologie Implantate</w:t>
            </w:r>
            <w:r w:rsidR="00036E50">
              <w:rPr>
                <w:rFonts w:ascii="TheSansOffice" w:hAnsi="TheSansOffice"/>
                <w:b w:val="0"/>
                <w:bCs w:val="0"/>
                <w:sz w:val="24"/>
              </w:rPr>
              <w:t>)</w:t>
            </w:r>
            <w:r>
              <w:rPr>
                <w:rFonts w:ascii="TheSansOffice" w:hAnsi="TheSansOffice"/>
                <w:b w:val="0"/>
                <w:bCs w:val="0"/>
                <w:sz w:val="24"/>
              </w:rPr>
              <w:t xml:space="preserve"> auf </w:t>
            </w:r>
            <w:r w:rsidR="00036E50">
              <w:rPr>
                <w:rStyle w:val="SchwacheHervorhebung"/>
                <w:rFonts w:ascii="TheSansOffice" w:hAnsi="TheSansOffice"/>
                <w:b w:val="0"/>
                <w:i w:val="0"/>
                <w:color w:val="auto"/>
                <w:sz w:val="24"/>
              </w:rPr>
              <w:t>15.900,00 </w:t>
            </w:r>
            <w:r w:rsidRPr="003A37E1">
              <w:rPr>
                <w:rStyle w:val="SchwacheHervorhebung"/>
                <w:rFonts w:ascii="TheSansOffice" w:hAnsi="TheSansOffice"/>
                <w:b w:val="0"/>
                <w:i w:val="0"/>
                <w:color w:val="auto"/>
                <w:sz w:val="24"/>
              </w:rPr>
              <w:t>€</w:t>
            </w:r>
            <w:r>
              <w:rPr>
                <w:rStyle w:val="SchwacheHervorhebung"/>
                <w:rFonts w:ascii="TheSansOffice" w:hAnsi="TheSansOffice"/>
                <w:b w:val="0"/>
                <w:i w:val="0"/>
                <w:color w:val="auto"/>
                <w:sz w:val="24"/>
              </w:rPr>
              <w:t xml:space="preserve"> bzw. 20.700,00 € inkl. 7% </w:t>
            </w:r>
            <w:proofErr w:type="spellStart"/>
            <w:r>
              <w:rPr>
                <w:rStyle w:val="SchwacheHervorhebung"/>
                <w:rFonts w:ascii="TheSansOffice" w:hAnsi="TheSansOffice"/>
                <w:b w:val="0"/>
                <w:i w:val="0"/>
                <w:color w:val="auto"/>
                <w:sz w:val="24"/>
              </w:rPr>
              <w:t>USt</w:t>
            </w:r>
            <w:proofErr w:type="spellEnd"/>
            <w:r w:rsidRPr="008D479D">
              <w:rPr>
                <w:rFonts w:ascii="TheSansOffice" w:hAnsi="TheSansOffice"/>
                <w:b w:val="0"/>
                <w:bCs w:val="0"/>
                <w:sz w:val="24"/>
              </w:rPr>
              <w:t xml:space="preserve">. </w:t>
            </w:r>
          </w:p>
          <w:p w14:paraId="0ABA7DF0" w14:textId="3F533BC2" w:rsidR="004500A5" w:rsidRPr="008D479D" w:rsidRDefault="004500A5" w:rsidP="004500A5">
            <w:pPr>
              <w:pStyle w:val="Textkrper2"/>
              <w:rPr>
                <w:rFonts w:ascii="TheSansOffice" w:hAnsi="TheSansOffice"/>
                <w:b w:val="0"/>
                <w:bCs w:val="0"/>
                <w:sz w:val="24"/>
              </w:rPr>
            </w:pPr>
            <w:r w:rsidRPr="008D479D">
              <w:rPr>
                <w:rFonts w:ascii="TheSansOffice" w:hAnsi="TheSansOffice"/>
                <w:b w:val="0"/>
                <w:bCs w:val="0"/>
                <w:sz w:val="24"/>
              </w:rPr>
              <w:t xml:space="preserve">Die </w:t>
            </w:r>
            <w:r>
              <w:rPr>
                <w:rFonts w:ascii="TheSansOffice" w:hAnsi="TheSansOffice"/>
                <w:b w:val="0"/>
                <w:bCs w:val="0"/>
                <w:sz w:val="24"/>
              </w:rPr>
              <w:t>STD der DRG H29Z beträgt 1.511</w:t>
            </w:r>
            <w:r w:rsidRPr="004F0356">
              <w:rPr>
                <w:rFonts w:ascii="TheSansOffice" w:hAnsi="TheSansOffice"/>
                <w:b w:val="0"/>
                <w:bCs w:val="0"/>
                <w:sz w:val="24"/>
              </w:rPr>
              <w:t>,</w:t>
            </w:r>
            <w:r>
              <w:rPr>
                <w:rFonts w:ascii="TheSansOffice" w:hAnsi="TheSansOffice"/>
                <w:b w:val="0"/>
                <w:bCs w:val="0"/>
                <w:sz w:val="24"/>
              </w:rPr>
              <w:t>5</w:t>
            </w:r>
            <w:r w:rsidRPr="004F0356">
              <w:rPr>
                <w:rFonts w:ascii="TheSansOffice" w:hAnsi="TheSansOffice"/>
                <w:b w:val="0"/>
                <w:bCs w:val="0"/>
                <w:sz w:val="24"/>
              </w:rPr>
              <w:t>3 €</w:t>
            </w:r>
            <w:r w:rsidRPr="008D479D">
              <w:rPr>
                <w:rFonts w:ascii="TheSansOffice" w:hAnsi="TheSansOffice"/>
                <w:b w:val="0"/>
                <w:bCs w:val="0"/>
                <w:sz w:val="24"/>
              </w:rPr>
              <w:t>.</w:t>
            </w:r>
          </w:p>
          <w:p w14:paraId="2F7E0E7F" w14:textId="5857F1D6" w:rsidR="004500A5" w:rsidRPr="008D479D" w:rsidRDefault="004500A5" w:rsidP="004500A5">
            <w:pPr>
              <w:pStyle w:val="Textkrper2"/>
              <w:rPr>
                <w:rFonts w:ascii="TheSansOffice" w:hAnsi="TheSansOffice"/>
                <w:b w:val="0"/>
                <w:bCs w:val="0"/>
                <w:sz w:val="24"/>
              </w:rPr>
            </w:pPr>
            <w:r w:rsidRPr="008D479D">
              <w:rPr>
                <w:rFonts w:ascii="TheSansOffice" w:hAnsi="TheSansOffice"/>
                <w:b w:val="0"/>
                <w:bCs w:val="0"/>
                <w:sz w:val="24"/>
              </w:rPr>
              <w:t>Somit bela</w:t>
            </w:r>
            <w:r>
              <w:rPr>
                <w:rFonts w:ascii="TheSansOffice" w:hAnsi="TheSansOffice"/>
                <w:b w:val="0"/>
                <w:bCs w:val="0"/>
                <w:sz w:val="24"/>
              </w:rPr>
              <w:t>ufen sich die Mehrkosten auf 1052</w:t>
            </w:r>
            <w:r w:rsidRPr="00CB618D">
              <w:rPr>
                <w:rFonts w:ascii="TheSansOffice" w:hAnsi="TheSansOffice"/>
                <w:b w:val="0"/>
                <w:bCs w:val="0"/>
                <w:sz w:val="24"/>
              </w:rPr>
              <w:t>%</w:t>
            </w:r>
            <w:r>
              <w:rPr>
                <w:rFonts w:ascii="TheSansOffice" w:hAnsi="TheSansOffice"/>
                <w:b w:val="0"/>
                <w:bCs w:val="0"/>
                <w:sz w:val="24"/>
              </w:rPr>
              <w:t xml:space="preserve"> bzw. 1369% </w:t>
            </w:r>
            <w:r w:rsidRPr="008D479D">
              <w:rPr>
                <w:rFonts w:ascii="TheSansOffice" w:hAnsi="TheSansOffice"/>
                <w:b w:val="0"/>
                <w:bCs w:val="0"/>
                <w:sz w:val="24"/>
              </w:rPr>
              <w:t>der STD und können als erheblich bezeichnet werden.</w:t>
            </w:r>
          </w:p>
          <w:p w14:paraId="50E049CF" w14:textId="77777777" w:rsidR="004500A5" w:rsidRDefault="004500A5" w:rsidP="006A0963">
            <w:pPr>
              <w:pStyle w:val="Textkrper2"/>
              <w:rPr>
                <w:rFonts w:ascii="TheSansOffice" w:hAnsi="TheSansOffice"/>
                <w:b w:val="0"/>
                <w:bCs w:val="0"/>
                <w:sz w:val="24"/>
              </w:rPr>
            </w:pPr>
          </w:p>
          <w:p w14:paraId="79876DD8" w14:textId="70014730" w:rsidR="001C01E1" w:rsidRDefault="001C01E1" w:rsidP="001C01E1">
            <w:pPr>
              <w:pStyle w:val="Textkrper2"/>
              <w:rPr>
                <w:rStyle w:val="SchwacheHervorhebung"/>
                <w:rFonts w:ascii="TheSansOffice" w:hAnsi="TheSansOffice"/>
                <w:b w:val="0"/>
                <w:i w:val="0"/>
                <w:color w:val="auto"/>
                <w:sz w:val="24"/>
              </w:rPr>
            </w:pPr>
            <w:r w:rsidRPr="00CC762F">
              <w:rPr>
                <w:rStyle w:val="SchwacheHervorhebung"/>
                <w:rFonts w:ascii="TheSansOffice" w:hAnsi="TheSansOffice"/>
                <w:b w:val="0"/>
                <w:i w:val="0"/>
                <w:color w:val="auto"/>
                <w:sz w:val="24"/>
              </w:rPr>
              <w:t>In seinem Abschlussbericht G-DRG System 2018 (Seite 68) weist das InEK darauf hin, dass n</w:t>
            </w:r>
            <w:r w:rsidR="00967922">
              <w:rPr>
                <w:rStyle w:val="SchwacheHervorhebung"/>
                <w:rFonts w:ascii="TheSansOffice" w:hAnsi="TheSansOffice"/>
                <w:b w:val="0"/>
                <w:i w:val="0"/>
                <w:color w:val="auto"/>
                <w:sz w:val="24"/>
              </w:rPr>
              <w:t>eben der abrechenbaren DRG H29Z</w:t>
            </w:r>
            <w:r w:rsidRPr="00CC762F">
              <w:rPr>
                <w:rStyle w:val="SchwacheHervorhebung"/>
                <w:rFonts w:ascii="TheSansOffice" w:hAnsi="TheSansOffice"/>
                <w:b w:val="0"/>
                <w:i w:val="0"/>
                <w:color w:val="auto"/>
                <w:sz w:val="24"/>
              </w:rPr>
              <w:t xml:space="preserve"> weiterhin </w:t>
            </w:r>
            <w:r w:rsidR="00967922">
              <w:rPr>
                <w:rStyle w:val="SchwacheHervorhebung"/>
                <w:rFonts w:ascii="TheSansOffice" w:hAnsi="TheSansOffice"/>
                <w:b w:val="0"/>
                <w:i w:val="0"/>
                <w:color w:val="auto"/>
                <w:sz w:val="24"/>
              </w:rPr>
              <w:t xml:space="preserve">das </w:t>
            </w:r>
            <w:proofErr w:type="spellStart"/>
            <w:r w:rsidR="00967922">
              <w:rPr>
                <w:rStyle w:val="SchwacheHervorhebung"/>
                <w:rFonts w:ascii="TheSansOffice" w:hAnsi="TheSansOffice"/>
                <w:b w:val="0"/>
                <w:i w:val="0"/>
                <w:color w:val="auto"/>
                <w:sz w:val="24"/>
              </w:rPr>
              <w:t>unbewertete</w:t>
            </w:r>
            <w:proofErr w:type="spellEnd"/>
            <w:r w:rsidRPr="00CC762F">
              <w:rPr>
                <w:rStyle w:val="SchwacheHervorhebung"/>
                <w:rFonts w:ascii="TheSansOffice" w:hAnsi="TheSansOffice"/>
                <w:b w:val="0"/>
                <w:i w:val="0"/>
                <w:color w:val="auto"/>
                <w:sz w:val="24"/>
              </w:rPr>
              <w:t xml:space="preserve"> Zusatzentgelt für Yttrium-90 bzw. Rhenium-188 markierten Mikrosphären geltend gemacht werden kann.</w:t>
            </w:r>
          </w:p>
          <w:p w14:paraId="5B8DF0B4" w14:textId="4BAB4584" w:rsidR="001C01E1" w:rsidRDefault="001C01E1" w:rsidP="001C01E1">
            <w:pPr>
              <w:pStyle w:val="Textkrper2"/>
              <w:rPr>
                <w:rStyle w:val="SchwacheHervorhebung"/>
                <w:rFonts w:ascii="TheSansOffice" w:hAnsi="TheSansOffice"/>
                <w:b w:val="0"/>
                <w:i w:val="0"/>
                <w:color w:val="auto"/>
                <w:sz w:val="24"/>
              </w:rPr>
            </w:pPr>
            <w:r w:rsidRPr="00CC762F">
              <w:rPr>
                <w:rStyle w:val="SchwacheHervorhebung"/>
                <w:rFonts w:ascii="TheSansOffice" w:hAnsi="TheSansOffice"/>
                <w:b w:val="0"/>
                <w:i w:val="0"/>
                <w:color w:val="auto"/>
                <w:sz w:val="24"/>
              </w:rPr>
              <w:t>Da Hol</w:t>
            </w:r>
            <w:r w:rsidR="00443FDF">
              <w:rPr>
                <w:rStyle w:val="SchwacheHervorhebung"/>
                <w:rFonts w:ascii="TheSansOffice" w:hAnsi="TheSansOffice"/>
                <w:b w:val="0"/>
                <w:i w:val="0"/>
                <w:color w:val="auto"/>
                <w:sz w:val="24"/>
              </w:rPr>
              <w:t>m</w:t>
            </w:r>
            <w:r w:rsidRPr="00CC762F">
              <w:rPr>
                <w:rStyle w:val="SchwacheHervorhebung"/>
                <w:rFonts w:ascii="TheSansOffice" w:hAnsi="TheSansOffice"/>
                <w:b w:val="0"/>
                <w:i w:val="0"/>
                <w:color w:val="auto"/>
                <w:sz w:val="24"/>
              </w:rPr>
              <w:t xml:space="preserve">ium-166 beladene Partikel bisher nicht </w:t>
            </w:r>
            <w:r w:rsidR="00967922">
              <w:rPr>
                <w:rStyle w:val="SchwacheHervorhebung"/>
                <w:rFonts w:ascii="TheSansOffice" w:hAnsi="TheSansOffice"/>
                <w:b w:val="0"/>
                <w:i w:val="0"/>
                <w:color w:val="auto"/>
                <w:sz w:val="24"/>
              </w:rPr>
              <w:t>in das</w:t>
            </w:r>
            <w:r w:rsidRPr="00CC762F">
              <w:rPr>
                <w:rStyle w:val="SchwacheHervorhebung"/>
                <w:rFonts w:ascii="TheSansOffice" w:hAnsi="TheSansOffice"/>
                <w:b w:val="0"/>
                <w:i w:val="0"/>
                <w:color w:val="auto"/>
                <w:sz w:val="24"/>
              </w:rPr>
              <w:t xml:space="preserve"> </w:t>
            </w:r>
            <w:proofErr w:type="spellStart"/>
            <w:r w:rsidRPr="00CC762F">
              <w:rPr>
                <w:rStyle w:val="SchwacheHervorhebung"/>
                <w:rFonts w:ascii="TheSansOffice" w:hAnsi="TheSansOffice"/>
                <w:b w:val="0"/>
                <w:i w:val="0"/>
                <w:color w:val="auto"/>
                <w:sz w:val="24"/>
              </w:rPr>
              <w:t>unbewertetes</w:t>
            </w:r>
            <w:proofErr w:type="spellEnd"/>
            <w:r w:rsidRPr="00CC762F">
              <w:rPr>
                <w:rStyle w:val="SchwacheHervorhebung"/>
                <w:rFonts w:ascii="TheSansOffice" w:hAnsi="TheSansOffice"/>
                <w:b w:val="0"/>
                <w:i w:val="0"/>
                <w:color w:val="auto"/>
                <w:sz w:val="24"/>
              </w:rPr>
              <w:t xml:space="preserve"> Zusatzentgelt aufgenommen</w:t>
            </w:r>
            <w:r>
              <w:rPr>
                <w:rStyle w:val="SchwacheHervorhebung"/>
                <w:rFonts w:ascii="TheSansOffice" w:hAnsi="TheSansOffice"/>
                <w:b w:val="0"/>
                <w:i w:val="0"/>
                <w:color w:val="auto"/>
                <w:sz w:val="24"/>
              </w:rPr>
              <w:t xml:space="preserve"> wurden, sind die </w:t>
            </w:r>
            <w:proofErr w:type="spellStart"/>
            <w:r>
              <w:rPr>
                <w:rStyle w:val="SchwacheHervorhebung"/>
                <w:rFonts w:ascii="TheSansOffice" w:hAnsi="TheSansOffice"/>
                <w:b w:val="0"/>
                <w:i w:val="0"/>
                <w:color w:val="auto"/>
                <w:sz w:val="24"/>
              </w:rPr>
              <w:t>Implantatkosten</w:t>
            </w:r>
            <w:proofErr w:type="spellEnd"/>
            <w:r>
              <w:rPr>
                <w:rStyle w:val="SchwacheHervorhebung"/>
                <w:rFonts w:ascii="TheSansOffice" w:hAnsi="TheSansOffice"/>
                <w:b w:val="0"/>
                <w:i w:val="0"/>
                <w:color w:val="auto"/>
                <w:sz w:val="24"/>
              </w:rPr>
              <w:t xml:space="preserve"> in Höhe von 15.900,00 €</w:t>
            </w:r>
            <w:r w:rsidR="00036E50">
              <w:rPr>
                <w:rStyle w:val="SchwacheHervorhebung"/>
                <w:rFonts w:ascii="TheSansOffice" w:hAnsi="TheSansOffice"/>
                <w:b w:val="0"/>
                <w:i w:val="0"/>
                <w:color w:val="auto"/>
                <w:sz w:val="24"/>
              </w:rPr>
              <w:t xml:space="preserve"> bzw. 20.700,00 €</w:t>
            </w:r>
            <w:r>
              <w:rPr>
                <w:rStyle w:val="SchwacheHervorhebung"/>
                <w:rFonts w:ascii="TheSansOffice" w:hAnsi="TheSansOffice"/>
                <w:b w:val="0"/>
                <w:i w:val="0"/>
                <w:color w:val="auto"/>
                <w:sz w:val="24"/>
              </w:rPr>
              <w:t xml:space="preserve"> inkl. 7% </w:t>
            </w:r>
            <w:proofErr w:type="spellStart"/>
            <w:r>
              <w:rPr>
                <w:rStyle w:val="SchwacheHervorhebung"/>
                <w:rFonts w:ascii="TheSansOffice" w:hAnsi="TheSansOffice"/>
                <w:b w:val="0"/>
                <w:i w:val="0"/>
                <w:color w:val="auto"/>
                <w:sz w:val="24"/>
              </w:rPr>
              <w:t>USt</w:t>
            </w:r>
            <w:proofErr w:type="spellEnd"/>
            <w:r>
              <w:rPr>
                <w:rStyle w:val="SchwacheHervorhebung"/>
                <w:rFonts w:ascii="TheSansOffice" w:hAnsi="TheSansOffice"/>
                <w:b w:val="0"/>
                <w:i w:val="0"/>
                <w:color w:val="auto"/>
                <w:sz w:val="24"/>
              </w:rPr>
              <w:t xml:space="preserve">. ungedeckt. </w:t>
            </w:r>
          </w:p>
          <w:p w14:paraId="17582454" w14:textId="77777777" w:rsidR="001C01E1" w:rsidRDefault="001C01E1" w:rsidP="006A0963">
            <w:pPr>
              <w:pStyle w:val="Textkrper2"/>
              <w:rPr>
                <w:rFonts w:ascii="TheSansOffice" w:hAnsi="TheSansOffice"/>
                <w:b w:val="0"/>
                <w:bCs w:val="0"/>
                <w:sz w:val="24"/>
              </w:rPr>
            </w:pPr>
          </w:p>
          <w:p w14:paraId="0CDDB3E4" w14:textId="77777777" w:rsidR="006A0963" w:rsidRPr="00967922" w:rsidRDefault="006A0963" w:rsidP="006A0963">
            <w:pPr>
              <w:pStyle w:val="Textkrper2"/>
              <w:rPr>
                <w:rFonts w:ascii="TheSansOffice" w:hAnsi="TheSansOffice"/>
                <w:b w:val="0"/>
                <w:bCs w:val="0"/>
                <w:sz w:val="24"/>
                <w:u w:val="single"/>
              </w:rPr>
            </w:pPr>
            <w:r w:rsidRPr="00967922">
              <w:rPr>
                <w:rFonts w:ascii="TheSansOffice" w:hAnsi="TheSansOffice"/>
                <w:b w:val="0"/>
                <w:bCs w:val="0"/>
                <w:sz w:val="24"/>
                <w:u w:val="single"/>
              </w:rPr>
              <w:t>Schieflage</w:t>
            </w:r>
          </w:p>
          <w:p w14:paraId="36835EE1" w14:textId="795FD995" w:rsidR="00AD417F" w:rsidRDefault="00AD417F" w:rsidP="00AD417F">
            <w:pPr>
              <w:pStyle w:val="Textkrper2"/>
              <w:rPr>
                <w:rFonts w:ascii="TheSansOffice" w:hAnsi="TheSansOffice"/>
                <w:b w:val="0"/>
                <w:bCs w:val="0"/>
                <w:sz w:val="24"/>
              </w:rPr>
            </w:pPr>
            <w:r w:rsidRPr="00967922">
              <w:rPr>
                <w:rFonts w:ascii="TheSansOffice" w:hAnsi="TheSansOffice"/>
                <w:b w:val="0"/>
                <w:bCs w:val="0"/>
                <w:sz w:val="24"/>
              </w:rPr>
              <w:t xml:space="preserve">Der Nachweis </w:t>
            </w:r>
            <w:r w:rsidRPr="00AD417F">
              <w:rPr>
                <w:rFonts w:ascii="TheSansOffice" w:hAnsi="TheSansOffice"/>
                <w:b w:val="0"/>
                <w:bCs w:val="0"/>
                <w:sz w:val="24"/>
              </w:rPr>
              <w:t>der Schieflage wird durch die Zusammenführung der ehemaligen H06B und H06C erschwert. Wie aus dem DRG Abschlussbericht 2018 ersichtlich wurden alle Fälle der ehemaligen H06B, jedoch nur ein kleinerer Teil der DRG H06C in die neu geschaffene DRG H29Z überführt.</w:t>
            </w:r>
          </w:p>
          <w:p w14:paraId="7D747C61" w14:textId="77777777" w:rsidR="00AD417F" w:rsidRPr="00AD417F" w:rsidRDefault="00AD417F" w:rsidP="00AD417F">
            <w:pPr>
              <w:pStyle w:val="Textkrper2"/>
              <w:rPr>
                <w:rFonts w:ascii="TheSansOffice" w:hAnsi="TheSansOffice"/>
                <w:b w:val="0"/>
                <w:bCs w:val="0"/>
                <w:sz w:val="24"/>
              </w:rPr>
            </w:pPr>
          </w:p>
          <w:p w14:paraId="68DBACEF" w14:textId="1E356287" w:rsidR="00AD417F" w:rsidRDefault="00AD417F" w:rsidP="00AD417F">
            <w:pPr>
              <w:pStyle w:val="Textkrper2"/>
              <w:rPr>
                <w:rFonts w:ascii="TheSansOffice" w:hAnsi="TheSansOffice"/>
                <w:b w:val="0"/>
                <w:bCs w:val="0"/>
                <w:sz w:val="24"/>
              </w:rPr>
            </w:pPr>
            <w:r w:rsidRPr="00AD417F">
              <w:rPr>
                <w:rFonts w:ascii="TheSansOffice" w:hAnsi="TheSansOffice"/>
                <w:b w:val="0"/>
                <w:bCs w:val="0"/>
                <w:sz w:val="24"/>
              </w:rPr>
              <w:t xml:space="preserve">Betrachtet man den fallzahlmäßigen Hauptteil </w:t>
            </w:r>
            <w:r w:rsidR="004907CE">
              <w:rPr>
                <w:rFonts w:ascii="TheSansOffice" w:hAnsi="TheSansOffice"/>
                <w:b w:val="0"/>
                <w:bCs w:val="0"/>
                <w:sz w:val="24"/>
              </w:rPr>
              <w:t xml:space="preserve">(Fälle der H06B) </w:t>
            </w:r>
            <w:r w:rsidRPr="00AD417F">
              <w:rPr>
                <w:rFonts w:ascii="TheSansOffice" w:hAnsi="TheSansOffice"/>
                <w:b w:val="0"/>
                <w:bCs w:val="0"/>
                <w:sz w:val="24"/>
              </w:rPr>
              <w:t>der neu geschaffenen DRG H29Z ergibt sich folgende Schieflage:</w:t>
            </w:r>
          </w:p>
          <w:p w14:paraId="78D47FA2" w14:textId="77777777" w:rsidR="00AD417F" w:rsidRPr="00AD417F" w:rsidRDefault="00AD417F" w:rsidP="00AD417F">
            <w:pPr>
              <w:pStyle w:val="Textkrper2"/>
              <w:rPr>
                <w:rFonts w:ascii="TheSansOffice" w:hAnsi="TheSansOffice"/>
                <w:b w:val="0"/>
                <w:bCs w:val="0"/>
                <w:sz w:val="24"/>
              </w:rPr>
            </w:pPr>
          </w:p>
          <w:p w14:paraId="4E864CCD" w14:textId="77777777" w:rsidR="00AD417F" w:rsidRDefault="00AD417F" w:rsidP="00AD417F">
            <w:pPr>
              <w:pStyle w:val="Textkrper2"/>
              <w:rPr>
                <w:rFonts w:ascii="TheSansOffice" w:hAnsi="TheSansOffice"/>
                <w:b w:val="0"/>
                <w:bCs w:val="0"/>
                <w:sz w:val="24"/>
              </w:rPr>
            </w:pPr>
            <w:r w:rsidRPr="00AD417F">
              <w:rPr>
                <w:rFonts w:ascii="TheSansOffice" w:hAnsi="TheSansOffice"/>
                <w:b w:val="0"/>
                <w:bCs w:val="0"/>
                <w:sz w:val="24"/>
              </w:rPr>
              <w:t>In den Jahren 2015 / 2016 wurden 3.736 Fälle in 187 Krankenhäusern, bzw. 3.757 Fälle in 198 Krankenhäusern abgerechnet.</w:t>
            </w:r>
          </w:p>
          <w:p w14:paraId="0B31675C" w14:textId="77777777" w:rsidR="00AD417F" w:rsidRPr="00AD417F" w:rsidRDefault="00AD417F" w:rsidP="00AD417F">
            <w:pPr>
              <w:pStyle w:val="Textkrper2"/>
              <w:rPr>
                <w:rFonts w:ascii="TheSansOffice" w:hAnsi="TheSansOffice"/>
                <w:b w:val="0"/>
                <w:bCs w:val="0"/>
                <w:sz w:val="24"/>
              </w:rPr>
            </w:pPr>
          </w:p>
          <w:p w14:paraId="113D379B" w14:textId="2CA98A85" w:rsidR="00AD417F" w:rsidRDefault="00AD417F" w:rsidP="00AD417F">
            <w:pPr>
              <w:pStyle w:val="Textkrper2"/>
              <w:rPr>
                <w:rFonts w:ascii="TheSansOffice" w:hAnsi="TheSansOffice"/>
                <w:b w:val="0"/>
                <w:bCs w:val="0"/>
                <w:sz w:val="24"/>
              </w:rPr>
            </w:pPr>
            <w:r w:rsidRPr="00AD417F">
              <w:rPr>
                <w:rFonts w:ascii="TheSansOffice" w:hAnsi="TheSansOffice"/>
                <w:b w:val="0"/>
                <w:bCs w:val="0"/>
                <w:sz w:val="24"/>
              </w:rPr>
              <w:t>Der OPS Code SIRT mit radioaktivem Material (Yttrium-99) wurde in 2015 hingegen nur 1.605</w:t>
            </w:r>
            <w:r w:rsidR="00C336AE">
              <w:rPr>
                <w:rFonts w:ascii="TheSansOffice" w:hAnsi="TheSansOffice"/>
                <w:b w:val="0"/>
                <w:bCs w:val="0"/>
                <w:sz w:val="24"/>
              </w:rPr>
              <w:t>-</w:t>
            </w:r>
            <w:r w:rsidRPr="00AD417F">
              <w:rPr>
                <w:rFonts w:ascii="TheSansOffice" w:hAnsi="TheSansOffice"/>
                <w:b w:val="0"/>
                <w:bCs w:val="0"/>
                <w:sz w:val="24"/>
              </w:rPr>
              <w:t>mal in 63 Krankenhäusern und 2016 1.491</w:t>
            </w:r>
            <w:r w:rsidR="00C336AE">
              <w:rPr>
                <w:rFonts w:ascii="TheSansOffice" w:hAnsi="TheSansOffice"/>
                <w:b w:val="0"/>
                <w:bCs w:val="0"/>
                <w:sz w:val="24"/>
              </w:rPr>
              <w:t>-</w:t>
            </w:r>
            <w:r w:rsidRPr="00AD417F">
              <w:rPr>
                <w:rFonts w:ascii="TheSansOffice" w:hAnsi="TheSansOffice"/>
                <w:b w:val="0"/>
                <w:bCs w:val="0"/>
                <w:sz w:val="24"/>
              </w:rPr>
              <w:t xml:space="preserve">mal in 65 Krankenhäusern kodiert. </w:t>
            </w:r>
          </w:p>
          <w:p w14:paraId="748AF4B2" w14:textId="77777777" w:rsidR="00AD417F" w:rsidRDefault="00AD417F" w:rsidP="00AD417F">
            <w:pPr>
              <w:pStyle w:val="Textkrper2"/>
              <w:rPr>
                <w:rFonts w:ascii="TheSansOffice" w:hAnsi="TheSansOffice"/>
                <w:b w:val="0"/>
                <w:bCs w:val="0"/>
                <w:sz w:val="24"/>
              </w:rPr>
            </w:pPr>
            <w:r w:rsidRPr="00AD417F">
              <w:rPr>
                <w:rFonts w:ascii="TheSansOffice" w:hAnsi="TheSansOffice"/>
                <w:b w:val="0"/>
                <w:bCs w:val="0"/>
                <w:sz w:val="24"/>
              </w:rPr>
              <w:t>Damit liegt eine klare Schieflage vor.</w:t>
            </w:r>
          </w:p>
          <w:p w14:paraId="1316312B" w14:textId="11DA4422" w:rsidR="006F2000" w:rsidRPr="00AD417F" w:rsidRDefault="00AD417F" w:rsidP="00AD417F">
            <w:pPr>
              <w:pStyle w:val="Textkrper2"/>
              <w:rPr>
                <w:rFonts w:ascii="TheSansOffice" w:hAnsi="TheSansOffice"/>
                <w:b w:val="0"/>
                <w:bCs w:val="0"/>
                <w:sz w:val="24"/>
              </w:rPr>
            </w:pPr>
            <w:r w:rsidRPr="00AD417F">
              <w:rPr>
                <w:rFonts w:ascii="TheSansOffice" w:hAnsi="TheSansOffice"/>
                <w:b w:val="0"/>
                <w:bCs w:val="0"/>
                <w:sz w:val="24"/>
              </w:rPr>
              <w:t xml:space="preserve">Datenquelle: </w:t>
            </w:r>
            <w:proofErr w:type="spellStart"/>
            <w:r w:rsidRPr="00AD417F">
              <w:rPr>
                <w:rFonts w:ascii="TheSansOffice" w:hAnsi="TheSansOffice"/>
                <w:b w:val="0"/>
                <w:bCs w:val="0"/>
                <w:sz w:val="24"/>
              </w:rPr>
              <w:t>DeStatis</w:t>
            </w:r>
            <w:proofErr w:type="spellEnd"/>
            <w:r w:rsidRPr="00AD417F">
              <w:rPr>
                <w:rFonts w:ascii="TheSansOffice" w:hAnsi="TheSansOffice"/>
                <w:b w:val="0"/>
                <w:bCs w:val="0"/>
                <w:sz w:val="24"/>
              </w:rPr>
              <w:t xml:space="preserve"> ICD, OPS und DRG Nennungen für die Systemjahre 2015 und 2016</w:t>
            </w:r>
            <w:r w:rsidR="006A0963" w:rsidRPr="00680A08">
              <w:rPr>
                <w:rFonts w:ascii="TheSansOffice" w:hAnsi="TheSansOffice"/>
                <w:b w:val="0"/>
                <w:bCs w:val="0"/>
                <w:sz w:val="24"/>
              </w:rPr>
              <w:t xml:space="preserve"> </w:t>
            </w:r>
          </w:p>
        </w:tc>
      </w:tr>
    </w:tbl>
    <w:p w14:paraId="38B47CE1" w14:textId="77777777" w:rsidR="003666ED" w:rsidRPr="00484A24" w:rsidRDefault="003666ED" w:rsidP="0050252D">
      <w:pPr>
        <w:rPr>
          <w:rFonts w:ascii="TheSansOffice" w:hAnsi="TheSansOffice" w:cs="Arial"/>
        </w:rPr>
      </w:pPr>
    </w:p>
    <w:sectPr w:rsidR="003666ED" w:rsidRPr="00484A24" w:rsidSect="00724255">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A83C" w14:textId="77777777" w:rsidR="00D707D9" w:rsidRDefault="00D707D9">
      <w:r>
        <w:separator/>
      </w:r>
    </w:p>
  </w:endnote>
  <w:endnote w:type="continuationSeparator" w:id="0">
    <w:p w14:paraId="67538D95" w14:textId="77777777" w:rsidR="00D707D9" w:rsidRDefault="00D7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Office">
    <w:altName w:val="Trebuchet MS"/>
    <w:panose1 w:val="00000000000000000000"/>
    <w:charset w:val="00"/>
    <w:family w:val="swiss"/>
    <w:notTrueType/>
    <w:pitch w:val="variable"/>
    <w:sig w:usb0="800000A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36EB2" w14:textId="3DCF1396" w:rsidR="003C4BF0" w:rsidRPr="003A7A7F" w:rsidRDefault="003C4BF0">
    <w:pPr>
      <w:pStyle w:val="Fuzeile"/>
      <w:rPr>
        <w:rFonts w:ascii="TheSansOffice" w:hAnsi="TheSansOffice"/>
        <w:lang w:val="en-US"/>
      </w:rPr>
    </w:pPr>
    <w:r w:rsidRPr="003A7A7F">
      <w:rPr>
        <w:rFonts w:ascii="TheSansOffice" w:hAnsi="TheSansOffice"/>
        <w:lang w:val="en-US"/>
      </w:rPr>
      <w:t xml:space="preserve">NUB </w:t>
    </w:r>
    <w:r w:rsidRPr="00964623">
      <w:rPr>
        <w:rFonts w:ascii="TheSansOffice" w:hAnsi="TheSansOffice"/>
      </w:rPr>
      <w:fldChar w:fldCharType="begin"/>
    </w:r>
    <w:r w:rsidRPr="003A7A7F">
      <w:rPr>
        <w:rFonts w:ascii="TheSansOffice" w:hAnsi="TheSansOffice"/>
        <w:lang w:val="en-US"/>
      </w:rPr>
      <w:instrText xml:space="preserve"> REF V_Jahr \h  \* MERGEFORMAT </w:instrText>
    </w:r>
    <w:r w:rsidRPr="00964623">
      <w:rPr>
        <w:rFonts w:ascii="TheSansOffice" w:hAnsi="TheSansOffice"/>
      </w:rPr>
    </w:r>
    <w:r w:rsidRPr="00964623">
      <w:rPr>
        <w:rFonts w:ascii="TheSansOffice" w:hAnsi="TheSansOffice"/>
      </w:rPr>
      <w:fldChar w:fldCharType="separate"/>
    </w:r>
    <w:r w:rsidR="00A46CFA" w:rsidRPr="00A46CFA">
      <w:rPr>
        <w:rFonts w:ascii="TheSansOffice" w:hAnsi="TheSansOffice"/>
        <w:lang w:val="en-US"/>
      </w:rPr>
      <w:t>2018-201</w:t>
    </w:r>
    <w:r w:rsidRPr="00964623">
      <w:rPr>
        <w:rFonts w:ascii="TheSansOffice" w:hAnsi="TheSansOffice"/>
      </w:rPr>
      <w:fldChar w:fldCharType="end"/>
    </w:r>
    <w:r w:rsidRPr="00B230BA">
      <w:rPr>
        <w:rFonts w:ascii="TheSansOffice" w:hAnsi="TheSansOffice"/>
        <w:lang w:val="en-US"/>
      </w:rPr>
      <w:t>9</w:t>
    </w:r>
    <w:r w:rsidRPr="003A7A7F">
      <w:rPr>
        <w:rFonts w:ascii="TheSansOffice" w:hAnsi="TheSansOffice"/>
        <w:lang w:val="en-US"/>
      </w:rPr>
      <w:t xml:space="preserve"> - </w:t>
    </w:r>
    <w:proofErr w:type="spellStart"/>
    <w:r w:rsidRPr="003A7A7F">
      <w:rPr>
        <w:rFonts w:ascii="TheSansOffice" w:hAnsi="TheSansOffice"/>
        <w:lang w:val="en-US"/>
      </w:rPr>
      <w:t>QuiremSpheres</w:t>
    </w:r>
    <w:proofErr w:type="spellEnd"/>
    <w:r w:rsidRPr="000F5A3F">
      <w:rPr>
        <w:rFonts w:ascii="TheSansOffice" w:hAnsi="TheSansOffice" w:cs="Arial"/>
        <w:vertAlign w:val="superscript"/>
        <w:lang w:val="en-US"/>
      </w:rPr>
      <w:t>®</w:t>
    </w:r>
  </w:p>
  <w:p w14:paraId="3E9A7B01" w14:textId="6E64C1A2" w:rsidR="003C4BF0" w:rsidRPr="00402783" w:rsidRDefault="003C4BF0">
    <w:pPr>
      <w:pStyle w:val="Fuzeile"/>
      <w:rPr>
        <w:rFonts w:ascii="TheSansOffice" w:hAnsi="TheSansOffice"/>
        <w:lang w:val="en-US"/>
      </w:rPr>
    </w:pPr>
    <w:proofErr w:type="gramStart"/>
    <w:r w:rsidRPr="00402783">
      <w:rPr>
        <w:rFonts w:ascii="TheSansOffice" w:hAnsi="TheSansOffice"/>
        <w:lang w:val="en-US"/>
      </w:rPr>
      <w:t>inspiring-health</w:t>
    </w:r>
    <w:proofErr w:type="gramEnd"/>
    <w:r w:rsidRPr="00402783">
      <w:rPr>
        <w:rFonts w:ascii="TheSansOffice" w:hAnsi="TheSansOffice"/>
        <w:lang w:val="en-US"/>
      </w:rPr>
      <w:t xml:space="preserve"> GmbH</w:t>
    </w:r>
  </w:p>
  <w:p w14:paraId="476DB51F" w14:textId="77777777" w:rsidR="003C4BF0" w:rsidRPr="00983196" w:rsidRDefault="003C4BF0">
    <w:pPr>
      <w:pStyle w:val="Fuzeile"/>
      <w:rPr>
        <w:rFonts w:ascii="TheSansOffice" w:hAnsi="TheSansOffice"/>
        <w:lang w:val="en-US"/>
      </w:rPr>
    </w:pPr>
    <w:r w:rsidRPr="00983196">
      <w:rPr>
        <w:rFonts w:ascii="TheSansOffice" w:hAnsi="TheSansOffice"/>
        <w:lang w:val="en-US"/>
      </w:rPr>
      <w:t xml:space="preserve">www.inspiring-health.de </w:t>
    </w:r>
  </w:p>
  <w:p w14:paraId="56CA4558" w14:textId="30A30D47" w:rsidR="003C4BF0" w:rsidRPr="00964623" w:rsidRDefault="003C4BF0">
    <w:pPr>
      <w:pStyle w:val="Fuzeile"/>
      <w:rPr>
        <w:rFonts w:ascii="TheSansOffice" w:hAnsi="TheSansOffice"/>
      </w:rPr>
    </w:pPr>
    <w:r w:rsidRPr="00964623">
      <w:rPr>
        <w:rFonts w:ascii="TheSansOffice" w:hAnsi="TheSansOffice"/>
      </w:rPr>
      <w:t xml:space="preserve">Seite </w:t>
    </w:r>
    <w:r w:rsidRPr="00964623">
      <w:rPr>
        <w:rFonts w:ascii="TheSansOffice" w:hAnsi="TheSansOffice"/>
      </w:rPr>
      <w:fldChar w:fldCharType="begin"/>
    </w:r>
    <w:r w:rsidRPr="00964623">
      <w:rPr>
        <w:rFonts w:ascii="TheSansOffice" w:hAnsi="TheSansOffice"/>
      </w:rPr>
      <w:instrText xml:space="preserve"> PAGE </w:instrText>
    </w:r>
    <w:r w:rsidRPr="00964623">
      <w:rPr>
        <w:rFonts w:ascii="TheSansOffice" w:hAnsi="TheSansOffice"/>
      </w:rPr>
      <w:fldChar w:fldCharType="separate"/>
    </w:r>
    <w:r w:rsidR="00A32C0E">
      <w:rPr>
        <w:rFonts w:ascii="TheSansOffice" w:hAnsi="TheSansOffice"/>
        <w:noProof/>
      </w:rPr>
      <w:t>11</w:t>
    </w:r>
    <w:r w:rsidRPr="00964623">
      <w:rPr>
        <w:rFonts w:ascii="TheSansOffice" w:hAnsi="TheSansOffice"/>
      </w:rPr>
      <w:fldChar w:fldCharType="end"/>
    </w:r>
    <w:r w:rsidRPr="00964623">
      <w:rPr>
        <w:rFonts w:ascii="TheSansOffice" w:hAnsi="TheSansOffice"/>
      </w:rPr>
      <w:t xml:space="preserve"> von </w:t>
    </w:r>
    <w:r w:rsidRPr="00964623">
      <w:rPr>
        <w:rFonts w:ascii="TheSansOffice" w:hAnsi="TheSansOffice"/>
      </w:rPr>
      <w:fldChar w:fldCharType="begin"/>
    </w:r>
    <w:r w:rsidRPr="00964623">
      <w:rPr>
        <w:rFonts w:ascii="TheSansOffice" w:hAnsi="TheSansOffice"/>
      </w:rPr>
      <w:instrText xml:space="preserve"> NUMPAGES </w:instrText>
    </w:r>
    <w:r w:rsidRPr="00964623">
      <w:rPr>
        <w:rFonts w:ascii="TheSansOffice" w:hAnsi="TheSansOffice"/>
      </w:rPr>
      <w:fldChar w:fldCharType="separate"/>
    </w:r>
    <w:r w:rsidR="00A32C0E">
      <w:rPr>
        <w:rFonts w:ascii="TheSansOffice" w:hAnsi="TheSansOffice"/>
        <w:noProof/>
      </w:rPr>
      <w:t>11</w:t>
    </w:r>
    <w:r w:rsidRPr="00964623">
      <w:rPr>
        <w:rFonts w:ascii="TheSansOffice" w:hAnsi="TheSansOffice"/>
      </w:rPr>
      <w:fldChar w:fldCharType="end"/>
    </w:r>
  </w:p>
  <w:p w14:paraId="28D32E11" w14:textId="77777777" w:rsidR="003C4BF0" w:rsidRPr="00964623" w:rsidRDefault="003C4BF0" w:rsidP="00D3779C">
    <w:pPr>
      <w:pStyle w:val="Fuzeile"/>
      <w:rPr>
        <w:rFonts w:ascii="TheSansOffice" w:hAnsi="TheSansOffice"/>
      </w:rPr>
    </w:pPr>
    <w:r w:rsidRPr="00964623">
      <w:rPr>
        <w:rFonts w:ascii="TheSansOffice" w:hAnsi="TheSansOffice"/>
      </w:rP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19292" w14:textId="77777777" w:rsidR="00D707D9" w:rsidRDefault="00D707D9">
      <w:r>
        <w:separator/>
      </w:r>
    </w:p>
  </w:footnote>
  <w:footnote w:type="continuationSeparator" w:id="0">
    <w:p w14:paraId="71BA35A6" w14:textId="77777777" w:rsidR="00D707D9" w:rsidRDefault="00D7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BDE9" w14:textId="1FB441DB" w:rsidR="003C4BF0" w:rsidRPr="00E01585" w:rsidRDefault="003C4BF0" w:rsidP="00DB0BAE">
    <w:pPr>
      <w:pStyle w:val="Titel"/>
      <w:pBdr>
        <w:bottom w:val="single" w:sz="8" w:space="5" w:color="2DA2BF"/>
      </w:pBdr>
      <w:rPr>
        <w:rFonts w:ascii="TheSansOffice" w:hAnsi="TheSansOffice"/>
      </w:rPr>
    </w:pPr>
    <w:r w:rsidRPr="00DB0BAE">
      <w:rPr>
        <w:rFonts w:ascii="TheSansOffice" w:hAnsi="TheSansOffice"/>
        <w:sz w:val="44"/>
      </w:rPr>
      <w:t xml:space="preserve">NUB Antrag </w:t>
    </w:r>
    <w:bookmarkStart w:id="1" w:name="V_Jahr"/>
    <w:r>
      <w:rPr>
        <w:rFonts w:ascii="TheSansOffice" w:hAnsi="TheSansOffice"/>
        <w:sz w:val="44"/>
      </w:rPr>
      <w:t>2018-201</w:t>
    </w:r>
    <w:bookmarkEnd w:id="1"/>
    <w:r>
      <w:rPr>
        <w:rFonts w:ascii="TheSansOffice" w:hAnsi="TheSansOffice"/>
        <w:sz w:val="44"/>
      </w:rPr>
      <w:t>9</w:t>
    </w:r>
    <w:r>
      <w:rPr>
        <w:rFonts w:ascii="TheSansOffice" w:hAnsi="TheSansOffice"/>
        <w:sz w:val="44"/>
      </w:rPr>
      <w:fldChar w:fldCharType="begin"/>
    </w:r>
    <w:r>
      <w:rPr>
        <w:rFonts w:ascii="TheSansOffice" w:hAnsi="TheSansOffice"/>
        <w:sz w:val="44"/>
      </w:rPr>
      <w:instrText xml:space="preserve"> ASK  V_Jahr "Geben Sie das Verfahrensjahr ein"  \* MERGEFORMAT </w:instrText>
    </w:r>
    <w:r>
      <w:rPr>
        <w:rFonts w:ascii="TheSansOffice" w:hAnsi="TheSansOffice"/>
        <w:sz w:val="44"/>
      </w:rPr>
      <w:fldChar w:fldCharType="end"/>
    </w:r>
    <w:r w:rsidRPr="00DB0BAE">
      <w:rPr>
        <w:rFonts w:ascii="TheSansOffice" w:hAnsi="TheSansOffice"/>
        <w:sz w:val="44"/>
      </w:rPr>
      <w:t xml:space="preserve"> - </w:t>
    </w:r>
    <w:bookmarkStart w:id="2" w:name="V_Produkt"/>
    <w:proofErr w:type="spellStart"/>
    <w:r>
      <w:rPr>
        <w:rFonts w:ascii="TheSansOffice" w:hAnsi="TheSansOffice"/>
        <w:sz w:val="44"/>
      </w:rPr>
      <w:t>QuiremSpheres</w:t>
    </w:r>
    <w:proofErr w:type="spellEnd"/>
    <w:r w:rsidRPr="00A44B96">
      <w:rPr>
        <w:rFonts w:ascii="TheSansOffice" w:hAnsi="TheSansOffice" w:cs="Arial"/>
        <w:vertAlign w:val="superscript"/>
      </w:rPr>
      <w:t>®</w:t>
    </w:r>
    <w:bookmarkEnd w:id="2"/>
  </w:p>
  <w:p w14:paraId="20266026" w14:textId="77777777" w:rsidR="003C4BF0" w:rsidRPr="00E01585" w:rsidRDefault="003C4BF0">
    <w:pPr>
      <w:pStyle w:val="Kopfzeile"/>
      <w:rPr>
        <w:rFonts w:ascii="TheSansOffice" w:hAnsi="TheSansOffic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CB4"/>
    <w:multiLevelType w:val="hybridMultilevel"/>
    <w:tmpl w:val="56F8E702"/>
    <w:lvl w:ilvl="0" w:tplc="CE287336">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Symbo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5" w15:restartNumberingAfterBreak="0">
    <w:nsid w:val="248D6983"/>
    <w:multiLevelType w:val="hybridMultilevel"/>
    <w:tmpl w:val="8E6EB1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6525AE9"/>
    <w:multiLevelType w:val="hybridMultilevel"/>
    <w:tmpl w:val="440AB112"/>
    <w:lvl w:ilvl="0" w:tplc="6CBE4980">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2E78BF"/>
    <w:multiLevelType w:val="multilevel"/>
    <w:tmpl w:val="581239A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Symbo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10" w15:restartNumberingAfterBreak="0">
    <w:nsid w:val="2C061B19"/>
    <w:multiLevelType w:val="hybridMultilevel"/>
    <w:tmpl w:val="8DCAFE70"/>
    <w:lvl w:ilvl="0" w:tplc="3AA08A48">
      <w:start w:val="3"/>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FD3A22"/>
    <w:multiLevelType w:val="multilevel"/>
    <w:tmpl w:val="D27A0B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D33EF5"/>
    <w:multiLevelType w:val="hybridMultilevel"/>
    <w:tmpl w:val="DBAE3386"/>
    <w:lvl w:ilvl="0" w:tplc="9DA8E2F2">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B771CC"/>
    <w:multiLevelType w:val="hybridMultilevel"/>
    <w:tmpl w:val="70F28D1A"/>
    <w:lvl w:ilvl="0" w:tplc="42BE043A">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DA7721"/>
    <w:multiLevelType w:val="hybridMultilevel"/>
    <w:tmpl w:val="06044B04"/>
    <w:lvl w:ilvl="0" w:tplc="2C541DD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3990015F"/>
    <w:multiLevelType w:val="hybridMultilevel"/>
    <w:tmpl w:val="706411FC"/>
    <w:lvl w:ilvl="0" w:tplc="5AA60DAA">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A76F4A"/>
    <w:multiLevelType w:val="hybridMultilevel"/>
    <w:tmpl w:val="203886EC"/>
    <w:lvl w:ilvl="0" w:tplc="BBC066E6">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DE2FB0"/>
    <w:multiLevelType w:val="hybridMultilevel"/>
    <w:tmpl w:val="65FE2728"/>
    <w:lvl w:ilvl="0" w:tplc="C0E814E2">
      <w:start w:val="3"/>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522441"/>
    <w:multiLevelType w:val="multilevel"/>
    <w:tmpl w:val="1838A3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C86D68"/>
    <w:multiLevelType w:val="hybridMultilevel"/>
    <w:tmpl w:val="066CDD20"/>
    <w:lvl w:ilvl="0" w:tplc="4314BAFC">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050BE0"/>
    <w:multiLevelType w:val="hybridMultilevel"/>
    <w:tmpl w:val="D68E9618"/>
    <w:lvl w:ilvl="0" w:tplc="8A6CBDC6">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49345F"/>
    <w:multiLevelType w:val="hybridMultilevel"/>
    <w:tmpl w:val="980C8832"/>
    <w:lvl w:ilvl="0" w:tplc="E3FCF24A">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AE5C9F"/>
    <w:multiLevelType w:val="hybridMultilevel"/>
    <w:tmpl w:val="E2D811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4854239"/>
    <w:multiLevelType w:val="multilevel"/>
    <w:tmpl w:val="788E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4569A"/>
    <w:multiLevelType w:val="multilevel"/>
    <w:tmpl w:val="436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41DB3"/>
    <w:multiLevelType w:val="hybridMultilevel"/>
    <w:tmpl w:val="097AFF0A"/>
    <w:lvl w:ilvl="0" w:tplc="63F29F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B409CE"/>
    <w:multiLevelType w:val="hybridMultilevel"/>
    <w:tmpl w:val="EF6ECE54"/>
    <w:lvl w:ilvl="0" w:tplc="F8DCA434">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Symbo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A12673"/>
    <w:multiLevelType w:val="multilevel"/>
    <w:tmpl w:val="70CE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95899"/>
    <w:multiLevelType w:val="hybridMultilevel"/>
    <w:tmpl w:val="06B47E38"/>
    <w:lvl w:ilvl="0" w:tplc="1DB8A492">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834F17"/>
    <w:multiLevelType w:val="hybridMultilevel"/>
    <w:tmpl w:val="32369AB0"/>
    <w:lvl w:ilvl="0" w:tplc="8506C3F6">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B55964"/>
    <w:multiLevelType w:val="multilevel"/>
    <w:tmpl w:val="0EF8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B1E1D"/>
    <w:multiLevelType w:val="multilevel"/>
    <w:tmpl w:val="F004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B26479"/>
    <w:multiLevelType w:val="hybridMultilevel"/>
    <w:tmpl w:val="46D272D8"/>
    <w:lvl w:ilvl="0" w:tplc="FFEC8B8E">
      <w:numFmt w:val="bullet"/>
      <w:lvlText w:val="-"/>
      <w:lvlJc w:val="left"/>
      <w:pPr>
        <w:ind w:left="720" w:hanging="360"/>
      </w:pPr>
      <w:rPr>
        <w:rFonts w:ascii="TheSansOffice" w:eastAsia="Times New Roman"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4779BD"/>
    <w:multiLevelType w:val="hybridMultilevel"/>
    <w:tmpl w:val="6D6C44EE"/>
    <w:lvl w:ilvl="0" w:tplc="D30C1AE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9"/>
  </w:num>
  <w:num w:numId="4">
    <w:abstractNumId w:val="4"/>
  </w:num>
  <w:num w:numId="5">
    <w:abstractNumId w:val="28"/>
  </w:num>
  <w:num w:numId="6">
    <w:abstractNumId w:val="3"/>
  </w:num>
  <w:num w:numId="7">
    <w:abstractNumId w:val="15"/>
  </w:num>
  <w:num w:numId="8">
    <w:abstractNumId w:val="6"/>
  </w:num>
  <w:num w:numId="9">
    <w:abstractNumId w:val="2"/>
  </w:num>
  <w:num w:numId="10">
    <w:abstractNumId w:val="29"/>
  </w:num>
  <w:num w:numId="11">
    <w:abstractNumId w:val="34"/>
  </w:num>
  <w:num w:numId="12">
    <w:abstractNumId w:val="33"/>
  </w:num>
  <w:num w:numId="13">
    <w:abstractNumId w:val="24"/>
  </w:num>
  <w:num w:numId="14">
    <w:abstractNumId w:val="25"/>
  </w:num>
  <w:num w:numId="15">
    <w:abstractNumId w:val="14"/>
  </w:num>
  <w:num w:numId="16">
    <w:abstractNumId w:val="36"/>
  </w:num>
  <w:num w:numId="17">
    <w:abstractNumId w:val="8"/>
  </w:num>
  <w:num w:numId="18">
    <w:abstractNumId w:val="7"/>
  </w:num>
  <w:num w:numId="19">
    <w:abstractNumId w:val="23"/>
  </w:num>
  <w:num w:numId="20">
    <w:abstractNumId w:val="19"/>
  </w:num>
  <w:num w:numId="21">
    <w:abstractNumId w:val="11"/>
  </w:num>
  <w:num w:numId="22">
    <w:abstractNumId w:val="18"/>
  </w:num>
  <w:num w:numId="23">
    <w:abstractNumId w:val="10"/>
  </w:num>
  <w:num w:numId="24">
    <w:abstractNumId w:val="26"/>
  </w:num>
  <w:num w:numId="25">
    <w:abstractNumId w:val="12"/>
  </w:num>
  <w:num w:numId="26">
    <w:abstractNumId w:val="32"/>
  </w:num>
  <w:num w:numId="27">
    <w:abstractNumId w:val="0"/>
  </w:num>
  <w:num w:numId="28">
    <w:abstractNumId w:val="20"/>
  </w:num>
  <w:num w:numId="29">
    <w:abstractNumId w:val="27"/>
  </w:num>
  <w:num w:numId="30">
    <w:abstractNumId w:val="13"/>
  </w:num>
  <w:num w:numId="31">
    <w:abstractNumId w:val="22"/>
  </w:num>
  <w:num w:numId="32">
    <w:abstractNumId w:val="21"/>
  </w:num>
  <w:num w:numId="33">
    <w:abstractNumId w:val="17"/>
  </w:num>
  <w:num w:numId="34">
    <w:abstractNumId w:val="31"/>
  </w:num>
  <w:num w:numId="35">
    <w:abstractNumId w:val="16"/>
  </w:num>
  <w:num w:numId="36">
    <w:abstractNumId w:val="3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 J Med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tspasas0sds0aez0wqvvrfdptpa2s9as29w&quot;&gt;defibrotide&lt;record-ids&gt;&lt;item&gt;1&lt;/item&gt;&lt;item&gt;2&lt;/item&gt;&lt;item&gt;5&lt;/item&gt;&lt;item&gt;7&lt;/item&gt;&lt;item&gt;8&lt;/item&gt;&lt;item&gt;9&lt;/item&gt;&lt;item&gt;10&lt;/item&gt;&lt;item&gt;11&lt;/item&gt;&lt;/record-ids&gt;&lt;/item&gt;&lt;/Libraries&gt;"/>
  </w:docVars>
  <w:rsids>
    <w:rsidRoot w:val="00D94A94"/>
    <w:rsid w:val="00013C21"/>
    <w:rsid w:val="00014299"/>
    <w:rsid w:val="000242FF"/>
    <w:rsid w:val="00034D7E"/>
    <w:rsid w:val="00036E0D"/>
    <w:rsid w:val="00036E50"/>
    <w:rsid w:val="00051208"/>
    <w:rsid w:val="0005136D"/>
    <w:rsid w:val="00053F47"/>
    <w:rsid w:val="000710CA"/>
    <w:rsid w:val="00072F2B"/>
    <w:rsid w:val="000A544B"/>
    <w:rsid w:val="000A6E79"/>
    <w:rsid w:val="000A70B1"/>
    <w:rsid w:val="000B193B"/>
    <w:rsid w:val="000B3514"/>
    <w:rsid w:val="000B757C"/>
    <w:rsid w:val="000B76E1"/>
    <w:rsid w:val="000B7BFB"/>
    <w:rsid w:val="000C653D"/>
    <w:rsid w:val="000D02A9"/>
    <w:rsid w:val="000D10AC"/>
    <w:rsid w:val="000E61B2"/>
    <w:rsid w:val="000F5A3F"/>
    <w:rsid w:val="000F5C27"/>
    <w:rsid w:val="00101FC9"/>
    <w:rsid w:val="00104D75"/>
    <w:rsid w:val="0012454C"/>
    <w:rsid w:val="00133100"/>
    <w:rsid w:val="00137274"/>
    <w:rsid w:val="0014209A"/>
    <w:rsid w:val="00152779"/>
    <w:rsid w:val="00161145"/>
    <w:rsid w:val="00165D10"/>
    <w:rsid w:val="0016654E"/>
    <w:rsid w:val="0016698D"/>
    <w:rsid w:val="001712B2"/>
    <w:rsid w:val="00194546"/>
    <w:rsid w:val="001C01E1"/>
    <w:rsid w:val="001C633C"/>
    <w:rsid w:val="001D0A25"/>
    <w:rsid w:val="001D2E3D"/>
    <w:rsid w:val="001E6962"/>
    <w:rsid w:val="001F6156"/>
    <w:rsid w:val="00200651"/>
    <w:rsid w:val="00224923"/>
    <w:rsid w:val="00234CBC"/>
    <w:rsid w:val="00234FB1"/>
    <w:rsid w:val="00243DB6"/>
    <w:rsid w:val="0024437D"/>
    <w:rsid w:val="00254953"/>
    <w:rsid w:val="00257426"/>
    <w:rsid w:val="002579B3"/>
    <w:rsid w:val="00270663"/>
    <w:rsid w:val="002A73B5"/>
    <w:rsid w:val="002B10D9"/>
    <w:rsid w:val="002B6A8E"/>
    <w:rsid w:val="002D6367"/>
    <w:rsid w:val="002E4EA0"/>
    <w:rsid w:val="00301475"/>
    <w:rsid w:val="003035C7"/>
    <w:rsid w:val="00306F26"/>
    <w:rsid w:val="003454C9"/>
    <w:rsid w:val="00351C21"/>
    <w:rsid w:val="003603DF"/>
    <w:rsid w:val="00365D70"/>
    <w:rsid w:val="003666ED"/>
    <w:rsid w:val="00386EBF"/>
    <w:rsid w:val="00386F52"/>
    <w:rsid w:val="003A37E1"/>
    <w:rsid w:val="003A7A7F"/>
    <w:rsid w:val="003B003D"/>
    <w:rsid w:val="003B01B5"/>
    <w:rsid w:val="003B287F"/>
    <w:rsid w:val="003C4BF0"/>
    <w:rsid w:val="003C642D"/>
    <w:rsid w:val="003D4AC9"/>
    <w:rsid w:val="003E7AC0"/>
    <w:rsid w:val="003F534C"/>
    <w:rsid w:val="004006A8"/>
    <w:rsid w:val="00402783"/>
    <w:rsid w:val="004177CF"/>
    <w:rsid w:val="00443FDF"/>
    <w:rsid w:val="004500A5"/>
    <w:rsid w:val="004621A3"/>
    <w:rsid w:val="00473BD4"/>
    <w:rsid w:val="00484A24"/>
    <w:rsid w:val="0048595E"/>
    <w:rsid w:val="004907CE"/>
    <w:rsid w:val="00494B71"/>
    <w:rsid w:val="004D0373"/>
    <w:rsid w:val="004D41BD"/>
    <w:rsid w:val="004D5C02"/>
    <w:rsid w:val="004E30C5"/>
    <w:rsid w:val="004E761E"/>
    <w:rsid w:val="004F2C6A"/>
    <w:rsid w:val="0050252D"/>
    <w:rsid w:val="00516FCB"/>
    <w:rsid w:val="00525B8F"/>
    <w:rsid w:val="00542513"/>
    <w:rsid w:val="005468B3"/>
    <w:rsid w:val="005572CF"/>
    <w:rsid w:val="00593D82"/>
    <w:rsid w:val="005958F1"/>
    <w:rsid w:val="00595C85"/>
    <w:rsid w:val="005A6B25"/>
    <w:rsid w:val="005B29FA"/>
    <w:rsid w:val="005C6C07"/>
    <w:rsid w:val="005D0274"/>
    <w:rsid w:val="005F2711"/>
    <w:rsid w:val="006021E4"/>
    <w:rsid w:val="00603E38"/>
    <w:rsid w:val="00605036"/>
    <w:rsid w:val="006052F9"/>
    <w:rsid w:val="00621ED4"/>
    <w:rsid w:val="006240A8"/>
    <w:rsid w:val="0063042A"/>
    <w:rsid w:val="0063204C"/>
    <w:rsid w:val="006403ED"/>
    <w:rsid w:val="006557E2"/>
    <w:rsid w:val="006664FE"/>
    <w:rsid w:val="00675522"/>
    <w:rsid w:val="00680A08"/>
    <w:rsid w:val="006873AE"/>
    <w:rsid w:val="006A0963"/>
    <w:rsid w:val="006B2287"/>
    <w:rsid w:val="006C1B52"/>
    <w:rsid w:val="006C54D8"/>
    <w:rsid w:val="006F2000"/>
    <w:rsid w:val="00724255"/>
    <w:rsid w:val="00731E1C"/>
    <w:rsid w:val="00740309"/>
    <w:rsid w:val="007539B2"/>
    <w:rsid w:val="00754901"/>
    <w:rsid w:val="00767C7B"/>
    <w:rsid w:val="00784B87"/>
    <w:rsid w:val="00790AF0"/>
    <w:rsid w:val="00797026"/>
    <w:rsid w:val="007A7806"/>
    <w:rsid w:val="007D5C45"/>
    <w:rsid w:val="007E30C8"/>
    <w:rsid w:val="007E6736"/>
    <w:rsid w:val="007F413D"/>
    <w:rsid w:val="008010B4"/>
    <w:rsid w:val="00812FB0"/>
    <w:rsid w:val="00817E90"/>
    <w:rsid w:val="0085271F"/>
    <w:rsid w:val="00876A3F"/>
    <w:rsid w:val="00892158"/>
    <w:rsid w:val="0089733F"/>
    <w:rsid w:val="008A7880"/>
    <w:rsid w:val="008B2409"/>
    <w:rsid w:val="008B786D"/>
    <w:rsid w:val="008C2E75"/>
    <w:rsid w:val="008D049C"/>
    <w:rsid w:val="008D1DB5"/>
    <w:rsid w:val="008D6D64"/>
    <w:rsid w:val="008D716B"/>
    <w:rsid w:val="008D7D09"/>
    <w:rsid w:val="008F2F2C"/>
    <w:rsid w:val="0090456E"/>
    <w:rsid w:val="0091013C"/>
    <w:rsid w:val="009367B5"/>
    <w:rsid w:val="009434F9"/>
    <w:rsid w:val="00950108"/>
    <w:rsid w:val="00955CDC"/>
    <w:rsid w:val="00961117"/>
    <w:rsid w:val="00964623"/>
    <w:rsid w:val="00964C3C"/>
    <w:rsid w:val="00966390"/>
    <w:rsid w:val="00967922"/>
    <w:rsid w:val="00967BCA"/>
    <w:rsid w:val="009823C7"/>
    <w:rsid w:val="00983196"/>
    <w:rsid w:val="009B2D78"/>
    <w:rsid w:val="009C2028"/>
    <w:rsid w:val="009C31D2"/>
    <w:rsid w:val="009C7BCE"/>
    <w:rsid w:val="009F15E4"/>
    <w:rsid w:val="00A202D7"/>
    <w:rsid w:val="00A326E3"/>
    <w:rsid w:val="00A32C0E"/>
    <w:rsid w:val="00A46CFA"/>
    <w:rsid w:val="00A778E3"/>
    <w:rsid w:val="00A9648D"/>
    <w:rsid w:val="00AD26EF"/>
    <w:rsid w:val="00AD417F"/>
    <w:rsid w:val="00AD4C04"/>
    <w:rsid w:val="00AE1D79"/>
    <w:rsid w:val="00AE5692"/>
    <w:rsid w:val="00AF50BE"/>
    <w:rsid w:val="00B11D73"/>
    <w:rsid w:val="00B16F70"/>
    <w:rsid w:val="00B17D98"/>
    <w:rsid w:val="00B211F7"/>
    <w:rsid w:val="00B230BA"/>
    <w:rsid w:val="00B459BC"/>
    <w:rsid w:val="00B6371C"/>
    <w:rsid w:val="00B64E2A"/>
    <w:rsid w:val="00B8147F"/>
    <w:rsid w:val="00B90AD9"/>
    <w:rsid w:val="00BA0F64"/>
    <w:rsid w:val="00BA12BE"/>
    <w:rsid w:val="00BB07EF"/>
    <w:rsid w:val="00BB6359"/>
    <w:rsid w:val="00BD344B"/>
    <w:rsid w:val="00C00889"/>
    <w:rsid w:val="00C05804"/>
    <w:rsid w:val="00C1159C"/>
    <w:rsid w:val="00C336AE"/>
    <w:rsid w:val="00C342B5"/>
    <w:rsid w:val="00C4185C"/>
    <w:rsid w:val="00C5294B"/>
    <w:rsid w:val="00C81B84"/>
    <w:rsid w:val="00C8220C"/>
    <w:rsid w:val="00C913FB"/>
    <w:rsid w:val="00C91EE8"/>
    <w:rsid w:val="00CB783C"/>
    <w:rsid w:val="00CC762F"/>
    <w:rsid w:val="00CD18D3"/>
    <w:rsid w:val="00CD4EA1"/>
    <w:rsid w:val="00CE56F6"/>
    <w:rsid w:val="00CF547A"/>
    <w:rsid w:val="00CF5EC3"/>
    <w:rsid w:val="00CF6AC2"/>
    <w:rsid w:val="00D068E7"/>
    <w:rsid w:val="00D07D9E"/>
    <w:rsid w:val="00D156C7"/>
    <w:rsid w:val="00D34E6D"/>
    <w:rsid w:val="00D3779C"/>
    <w:rsid w:val="00D40523"/>
    <w:rsid w:val="00D40C59"/>
    <w:rsid w:val="00D56AC5"/>
    <w:rsid w:val="00D60FF9"/>
    <w:rsid w:val="00D62675"/>
    <w:rsid w:val="00D643A4"/>
    <w:rsid w:val="00D707D9"/>
    <w:rsid w:val="00D82FC4"/>
    <w:rsid w:val="00D92627"/>
    <w:rsid w:val="00D94A94"/>
    <w:rsid w:val="00D9627F"/>
    <w:rsid w:val="00DA62C1"/>
    <w:rsid w:val="00DB0BAE"/>
    <w:rsid w:val="00DB2D4D"/>
    <w:rsid w:val="00DC2901"/>
    <w:rsid w:val="00DE66B0"/>
    <w:rsid w:val="00E01585"/>
    <w:rsid w:val="00E115B0"/>
    <w:rsid w:val="00E14537"/>
    <w:rsid w:val="00E1663D"/>
    <w:rsid w:val="00E16D98"/>
    <w:rsid w:val="00E433E6"/>
    <w:rsid w:val="00E45FCE"/>
    <w:rsid w:val="00E77818"/>
    <w:rsid w:val="00E82B94"/>
    <w:rsid w:val="00EA78BC"/>
    <w:rsid w:val="00EA7D81"/>
    <w:rsid w:val="00EC51DE"/>
    <w:rsid w:val="00ED3C06"/>
    <w:rsid w:val="00EE20DA"/>
    <w:rsid w:val="00EE5EE0"/>
    <w:rsid w:val="00F16046"/>
    <w:rsid w:val="00F16C73"/>
    <w:rsid w:val="00F41CBC"/>
    <w:rsid w:val="00F45467"/>
    <w:rsid w:val="00F52BD7"/>
    <w:rsid w:val="00F77750"/>
    <w:rsid w:val="00F8132B"/>
    <w:rsid w:val="00F8525D"/>
    <w:rsid w:val="00F96916"/>
    <w:rsid w:val="00FA72A8"/>
    <w:rsid w:val="00FB4B46"/>
    <w:rsid w:val="00FC6048"/>
    <w:rsid w:val="00FC6214"/>
    <w:rsid w:val="00FC789B"/>
    <w:rsid w:val="00FD0A1F"/>
    <w:rsid w:val="00FD1DCF"/>
    <w:rsid w:val="00FD7091"/>
    <w:rsid w:val="00FE500A"/>
    <w:rsid w:val="00FF39A4"/>
    <w:rsid w:val="00FF6A9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F46B6E"/>
  <w15:docId w15:val="{2A2C76C6-05FE-4C00-A54D-79F64EA3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D02"/>
    <w:rPr>
      <w:sz w:val="24"/>
      <w:szCs w:val="24"/>
    </w:rPr>
  </w:style>
  <w:style w:type="paragraph" w:styleId="berschrift1">
    <w:name w:val="heading 1"/>
    <w:basedOn w:val="Standard"/>
    <w:next w:val="Standard"/>
    <w:link w:val="berschrift1Zchn"/>
    <w:qFormat/>
    <w:locked/>
    <w:rsid w:val="00297BAB"/>
    <w:pPr>
      <w:keepNext/>
      <w:spacing w:before="240" w:after="60"/>
      <w:outlineLvl w:val="0"/>
    </w:pPr>
    <w:rPr>
      <w:rFonts w:ascii="Cambria" w:hAnsi="Cambria"/>
      <w:b/>
      <w:bCs/>
      <w:kern w:val="32"/>
      <w:sz w:val="32"/>
      <w:szCs w:val="32"/>
    </w:rPr>
  </w:style>
  <w:style w:type="paragraph" w:styleId="berschrift2">
    <w:name w:val="heading 2"/>
    <w:basedOn w:val="Standard"/>
    <w:link w:val="berschrift2Zchn"/>
    <w:qFormat/>
    <w:rsid w:val="004E1D02"/>
    <w:pPr>
      <w:spacing w:before="100" w:beforeAutospacing="1" w:after="100" w:afterAutospacing="1"/>
      <w:outlineLvl w:val="1"/>
    </w:pPr>
    <w:rPr>
      <w:rFonts w:ascii="Arial" w:hAnsi="Arial" w:cs="Arial"/>
      <w:b/>
      <w:bCs/>
      <w:color w:val="000000"/>
      <w:sz w:val="30"/>
      <w:szCs w:val="30"/>
    </w:rPr>
  </w:style>
  <w:style w:type="paragraph" w:styleId="berschrift4">
    <w:name w:val="heading 4"/>
    <w:basedOn w:val="Standard"/>
    <w:next w:val="Standard"/>
    <w:link w:val="berschrift4Zchn"/>
    <w:qFormat/>
    <w:locked/>
    <w:rsid w:val="00297BAB"/>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97BAB"/>
    <w:rPr>
      <w:rFonts w:ascii="Cambria" w:hAnsi="Cambria"/>
      <w:b/>
      <w:bCs/>
      <w:kern w:val="32"/>
      <w:sz w:val="32"/>
      <w:szCs w:val="32"/>
    </w:rPr>
  </w:style>
  <w:style w:type="character" w:customStyle="1" w:styleId="berschrift2Zchn">
    <w:name w:val="Überschrift 2 Zchn"/>
    <w:link w:val="berschrift2"/>
    <w:uiPriority w:val="99"/>
    <w:semiHidden/>
    <w:locked/>
    <w:rsid w:val="008B4504"/>
    <w:rPr>
      <w:rFonts w:ascii="Cambria" w:hAnsi="Cambria" w:cs="Times New Roman"/>
      <w:b/>
      <w:bCs/>
      <w:i/>
      <w:iCs/>
      <w:sz w:val="28"/>
      <w:szCs w:val="28"/>
    </w:rPr>
  </w:style>
  <w:style w:type="character" w:customStyle="1" w:styleId="berschrift4Zchn">
    <w:name w:val="Überschrift 4 Zchn"/>
    <w:link w:val="berschrift4"/>
    <w:rsid w:val="00297BAB"/>
    <w:rPr>
      <w:rFonts w:ascii="Calibri" w:hAnsi="Calibri"/>
      <w:b/>
      <w:bCs/>
      <w:sz w:val="28"/>
      <w:szCs w:val="28"/>
    </w:rPr>
  </w:style>
  <w:style w:type="paragraph" w:styleId="Textkrper">
    <w:name w:val="Body Text"/>
    <w:basedOn w:val="Standard"/>
    <w:link w:val="TextkrperZchn"/>
    <w:rsid w:val="004E1D02"/>
    <w:pPr>
      <w:spacing w:line="480" w:lineRule="auto"/>
      <w:jc w:val="both"/>
    </w:pPr>
    <w:rPr>
      <w:szCs w:val="20"/>
    </w:rPr>
  </w:style>
  <w:style w:type="character" w:customStyle="1" w:styleId="TextkrperZchn">
    <w:name w:val="Textkörper Zchn"/>
    <w:link w:val="Textkrper"/>
    <w:uiPriority w:val="99"/>
    <w:semiHidden/>
    <w:locked/>
    <w:rsid w:val="008B4504"/>
    <w:rPr>
      <w:rFonts w:cs="Times New Roman"/>
      <w:sz w:val="24"/>
      <w:szCs w:val="24"/>
    </w:rPr>
  </w:style>
  <w:style w:type="paragraph" w:styleId="StandardWeb">
    <w:name w:val="Normal (Web)"/>
    <w:basedOn w:val="Standard"/>
    <w:rsid w:val="004E1D02"/>
    <w:pPr>
      <w:spacing w:before="100" w:beforeAutospacing="1" w:after="100" w:afterAutospacing="1"/>
    </w:pPr>
    <w:rPr>
      <w:color w:val="000000"/>
    </w:rPr>
  </w:style>
  <w:style w:type="character" w:styleId="Hyperlink">
    <w:name w:val="Hyperlink"/>
    <w:uiPriority w:val="99"/>
    <w:rsid w:val="004E1D02"/>
    <w:rPr>
      <w:rFonts w:cs="Times New Roman"/>
      <w:color w:val="0000FF"/>
      <w:u w:val="single"/>
    </w:rPr>
  </w:style>
  <w:style w:type="paragraph" w:styleId="Textkrper2">
    <w:name w:val="Body Text 2"/>
    <w:basedOn w:val="Standard"/>
    <w:link w:val="Textkrper2Zchn"/>
    <w:rsid w:val="004E1D02"/>
    <w:rPr>
      <w:rFonts w:ascii="Arial" w:hAnsi="Arial" w:cs="Arial"/>
      <w:b/>
      <w:bCs/>
      <w:sz w:val="22"/>
    </w:rPr>
  </w:style>
  <w:style w:type="character" w:customStyle="1" w:styleId="Textkrper2Zchn">
    <w:name w:val="Textkörper 2 Zchn"/>
    <w:link w:val="Textkrper2"/>
    <w:uiPriority w:val="99"/>
    <w:semiHidden/>
    <w:locked/>
    <w:rsid w:val="008B4504"/>
    <w:rPr>
      <w:rFonts w:cs="Times New Roman"/>
      <w:sz w:val="24"/>
      <w:szCs w:val="24"/>
    </w:rPr>
  </w:style>
  <w:style w:type="paragraph" w:customStyle="1" w:styleId="affiliation">
    <w:name w:val="affiliation"/>
    <w:basedOn w:val="Standard"/>
    <w:rsid w:val="004E1D02"/>
    <w:rPr>
      <w:color w:val="000000"/>
    </w:rPr>
  </w:style>
  <w:style w:type="character" w:customStyle="1" w:styleId="ti2">
    <w:name w:val="ti2"/>
    <w:rsid w:val="004E1D02"/>
    <w:rPr>
      <w:rFonts w:cs="Times New Roman"/>
    </w:rPr>
  </w:style>
  <w:style w:type="character" w:customStyle="1" w:styleId="featuredlinkouts">
    <w:name w:val="featured_linkouts"/>
    <w:rsid w:val="004E1D02"/>
    <w:rPr>
      <w:rFonts w:cs="Times New Roman"/>
    </w:rPr>
  </w:style>
  <w:style w:type="character" w:customStyle="1" w:styleId="linkbar">
    <w:name w:val="linkbar"/>
    <w:rsid w:val="004E1D02"/>
    <w:rPr>
      <w:rFonts w:cs="Times New Roman"/>
    </w:rPr>
  </w:style>
  <w:style w:type="character" w:styleId="BesuchterHyperlink">
    <w:name w:val="FollowedHyperlink"/>
    <w:rsid w:val="004E1D02"/>
    <w:rPr>
      <w:rFonts w:cs="Times New Roman"/>
      <w:color w:val="800080"/>
      <w:u w:val="single"/>
    </w:rPr>
  </w:style>
  <w:style w:type="paragraph" w:styleId="Sprechblasentext">
    <w:name w:val="Balloon Text"/>
    <w:basedOn w:val="Standard"/>
    <w:link w:val="SprechblasentextZchn"/>
    <w:semiHidden/>
    <w:rsid w:val="004E1D02"/>
    <w:rPr>
      <w:rFonts w:ascii="Tahoma" w:hAnsi="Tahoma" w:cs="Tahoma"/>
      <w:sz w:val="16"/>
      <w:szCs w:val="16"/>
    </w:rPr>
  </w:style>
  <w:style w:type="character" w:customStyle="1" w:styleId="SprechblasentextZchn">
    <w:name w:val="Sprechblasentext Zchn"/>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rsid w:val="004E1D02"/>
    <w:pPr>
      <w:tabs>
        <w:tab w:val="center" w:pos="4536"/>
        <w:tab w:val="right" w:pos="9072"/>
      </w:tabs>
    </w:pPr>
  </w:style>
  <w:style w:type="character" w:customStyle="1" w:styleId="KopfzeileZchn">
    <w:name w:val="Kopfzeile Zchn"/>
    <w:link w:val="Kopfzeile"/>
    <w:uiPriority w:val="99"/>
    <w:semiHidden/>
    <w:locked/>
    <w:rsid w:val="008B4504"/>
    <w:rPr>
      <w:rFonts w:cs="Times New Roman"/>
      <w:sz w:val="24"/>
      <w:szCs w:val="24"/>
    </w:rPr>
  </w:style>
  <w:style w:type="paragraph" w:styleId="Fuzeile">
    <w:name w:val="footer"/>
    <w:basedOn w:val="Standard"/>
    <w:link w:val="FuzeileZchn"/>
    <w:rsid w:val="004E1D02"/>
    <w:pPr>
      <w:tabs>
        <w:tab w:val="center" w:pos="4536"/>
        <w:tab w:val="right" w:pos="9072"/>
      </w:tabs>
    </w:pPr>
  </w:style>
  <w:style w:type="character" w:customStyle="1" w:styleId="FuzeileZchn">
    <w:name w:val="Fußzeile Zchn"/>
    <w:link w:val="Fuzeile"/>
    <w:uiPriority w:val="99"/>
    <w:semiHidden/>
    <w:locked/>
    <w:rsid w:val="008B4504"/>
    <w:rPr>
      <w:rFonts w:cs="Times New Roman"/>
      <w:sz w:val="24"/>
      <w:szCs w:val="24"/>
    </w:rPr>
  </w:style>
  <w:style w:type="character" w:styleId="Kommentarzeichen">
    <w:name w:val="annotation reference"/>
    <w:semiHidden/>
    <w:rsid w:val="00297BAB"/>
    <w:rPr>
      <w:sz w:val="16"/>
      <w:szCs w:val="16"/>
    </w:rPr>
  </w:style>
  <w:style w:type="character" w:customStyle="1" w:styleId="KommentartextZchn">
    <w:name w:val="Kommentartext Zchn"/>
    <w:basedOn w:val="Absatz-Standardschriftart"/>
    <w:link w:val="Kommentartext"/>
    <w:semiHidden/>
    <w:rsid w:val="00297BAB"/>
  </w:style>
  <w:style w:type="paragraph" w:styleId="Kommentartext">
    <w:name w:val="annotation text"/>
    <w:basedOn w:val="Standard"/>
    <w:link w:val="KommentartextZchn"/>
    <w:semiHidden/>
    <w:rsid w:val="00297BAB"/>
    <w:rPr>
      <w:sz w:val="20"/>
      <w:szCs w:val="20"/>
    </w:rPr>
  </w:style>
  <w:style w:type="character" w:customStyle="1" w:styleId="KommentarthemaZchn">
    <w:name w:val="Kommentarthema Zchn"/>
    <w:link w:val="Kommentarthema"/>
    <w:semiHidden/>
    <w:rsid w:val="00297BAB"/>
    <w:rPr>
      <w:b/>
      <w:bCs/>
    </w:rPr>
  </w:style>
  <w:style w:type="paragraph" w:styleId="Kommentarthema">
    <w:name w:val="annotation subject"/>
    <w:basedOn w:val="Kommentartext"/>
    <w:next w:val="Kommentartext"/>
    <w:link w:val="KommentarthemaZchn"/>
    <w:semiHidden/>
    <w:rsid w:val="00297BAB"/>
    <w:rPr>
      <w:b/>
      <w:bCs/>
    </w:rPr>
  </w:style>
  <w:style w:type="character" w:customStyle="1" w:styleId="highlight">
    <w:name w:val="highlight"/>
    <w:rsid w:val="00297BAB"/>
  </w:style>
  <w:style w:type="paragraph" w:styleId="Listenabsatz">
    <w:name w:val="List Paragraph"/>
    <w:basedOn w:val="Standard"/>
    <w:uiPriority w:val="34"/>
    <w:qFormat/>
    <w:rsid w:val="00E77818"/>
    <w:pPr>
      <w:ind w:left="720"/>
      <w:contextualSpacing/>
    </w:pPr>
  </w:style>
  <w:style w:type="character" w:styleId="SchwacheHervorhebung">
    <w:name w:val="Subtle Emphasis"/>
    <w:basedOn w:val="Absatz-Standardschriftart"/>
    <w:uiPriority w:val="65"/>
    <w:qFormat/>
    <w:rsid w:val="006F2000"/>
    <w:rPr>
      <w:i/>
      <w:iCs/>
      <w:color w:val="404040" w:themeColor="text1" w:themeTint="BF"/>
    </w:rPr>
  </w:style>
  <w:style w:type="character" w:styleId="Platzhaltertext">
    <w:name w:val="Placeholder Text"/>
    <w:basedOn w:val="Absatz-Standardschriftart"/>
    <w:uiPriority w:val="99"/>
    <w:semiHidden/>
    <w:rsid w:val="007E30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3347">
      <w:bodyDiv w:val="1"/>
      <w:marLeft w:val="0"/>
      <w:marRight w:val="0"/>
      <w:marTop w:val="0"/>
      <w:marBottom w:val="0"/>
      <w:divBdr>
        <w:top w:val="none" w:sz="0" w:space="0" w:color="auto"/>
        <w:left w:val="none" w:sz="0" w:space="0" w:color="auto"/>
        <w:bottom w:val="none" w:sz="0" w:space="0" w:color="auto"/>
        <w:right w:val="none" w:sz="0" w:space="0" w:color="auto"/>
      </w:divBdr>
    </w:div>
    <w:div w:id="1148474094">
      <w:bodyDiv w:val="1"/>
      <w:marLeft w:val="0"/>
      <w:marRight w:val="0"/>
      <w:marTop w:val="0"/>
      <w:marBottom w:val="0"/>
      <w:divBdr>
        <w:top w:val="none" w:sz="0" w:space="0" w:color="auto"/>
        <w:left w:val="none" w:sz="0" w:space="0" w:color="auto"/>
        <w:bottom w:val="none" w:sz="0" w:space="0" w:color="auto"/>
        <w:right w:val="none" w:sz="0" w:space="0" w:color="auto"/>
      </w:divBdr>
    </w:div>
    <w:div w:id="1433478548">
      <w:bodyDiv w:val="1"/>
      <w:marLeft w:val="0"/>
      <w:marRight w:val="0"/>
      <w:marTop w:val="0"/>
      <w:marBottom w:val="0"/>
      <w:divBdr>
        <w:top w:val="none" w:sz="0" w:space="0" w:color="auto"/>
        <w:left w:val="none" w:sz="0" w:space="0" w:color="auto"/>
        <w:bottom w:val="none" w:sz="0" w:space="0" w:color="auto"/>
        <w:right w:val="none" w:sz="0" w:space="0" w:color="auto"/>
      </w:divBdr>
    </w:div>
    <w:div w:id="2075658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1FEE92BAEBEC4DA4327270FD32F877" ma:contentTypeVersion="0" ma:contentTypeDescription="Ein neues Dokument erstellen." ma:contentTypeScope="" ma:versionID="7cbe4d6ccb97abead10f13a0ada88b5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76A2-0E12-4CDF-B7F9-9BBDCD29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BF528B-6FFE-46AB-87E6-5C2D77D6764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3E3D885-D1EA-4EBE-9626-1000B627071E}">
  <ds:schemaRefs>
    <ds:schemaRef ds:uri="http://schemas.microsoft.com/sharepoint/v3/contenttype/forms"/>
  </ds:schemaRefs>
</ds:datastoreItem>
</file>

<file path=customXml/itemProps4.xml><?xml version="1.0" encoding="utf-8"?>
<ds:datastoreItem xmlns:ds="http://schemas.openxmlformats.org/officeDocument/2006/customXml" ds:itemID="{6C1E1946-FDB8-4210-AA55-8C4EFD3E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2881</Words>
  <Characters>19373</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 NUB Antrag DE Produktname Zieljahr Projektnummer</vt:lpstr>
      <vt:lpstr>1</vt:lpstr>
    </vt:vector>
  </TitlesOfParts>
  <Company>Microsoft</Company>
  <LinksUpToDate>false</LinksUpToDate>
  <CharactersWithSpaces>22210</CharactersWithSpaces>
  <SharedDoc>false</SharedDoc>
  <HLinks>
    <vt:vector size="168" baseType="variant">
      <vt:variant>
        <vt:i4>4194342</vt:i4>
      </vt:variant>
      <vt:variant>
        <vt:i4>78</vt:i4>
      </vt:variant>
      <vt:variant>
        <vt:i4>0</vt:i4>
      </vt:variant>
      <vt:variant>
        <vt:i4>5</vt:i4>
      </vt:variant>
      <vt:variant>
        <vt:lpwstr>http://www.sciencedirect.com/science/article/pii/S108387911100259X?_alid=1807816667&amp;_rdoc=1&amp;_fmt=high&amp;_origin=search&amp;_docanchor=&amp;_ct=23&amp;_zone=rslt_list_item&amp;md5=039fb56f6f1e164e3278d1eeefe5ff9d</vt:lpwstr>
      </vt:variant>
      <vt:variant>
        <vt:lpwstr/>
      </vt:variant>
      <vt:variant>
        <vt:i4>3342370</vt:i4>
      </vt:variant>
      <vt:variant>
        <vt:i4>75</vt:i4>
      </vt:variant>
      <vt:variant>
        <vt:i4>0</vt:i4>
      </vt:variant>
      <vt:variant>
        <vt:i4>5</vt:i4>
      </vt:variant>
      <vt:variant>
        <vt:lpwstr>http://www.ncbi.nlm.nih.gov/pubmed/20167278</vt:lpwstr>
      </vt:variant>
      <vt:variant>
        <vt:lpwstr/>
      </vt:variant>
      <vt:variant>
        <vt:i4>524353</vt:i4>
      </vt:variant>
      <vt:variant>
        <vt:i4>72</vt:i4>
      </vt:variant>
      <vt:variant>
        <vt:i4>0</vt:i4>
      </vt:variant>
      <vt:variant>
        <vt:i4>5</vt:i4>
      </vt:variant>
      <vt:variant>
        <vt:lpwstr>http://www.ncbi.nlm.nih.gov/pubmed?term=%2522Guinan%20EC%2522%255BAuthor%255D</vt:lpwstr>
      </vt:variant>
      <vt:variant>
        <vt:lpwstr/>
      </vt:variant>
      <vt:variant>
        <vt:i4>7143487</vt:i4>
      </vt:variant>
      <vt:variant>
        <vt:i4>69</vt:i4>
      </vt:variant>
      <vt:variant>
        <vt:i4>0</vt:i4>
      </vt:variant>
      <vt:variant>
        <vt:i4>5</vt:i4>
      </vt:variant>
      <vt:variant>
        <vt:lpwstr>http://www.ncbi.nlm.nih.gov/pubmed?term=%2522McDonald%20GB%2522%255BAuthor%255D</vt:lpwstr>
      </vt:variant>
      <vt:variant>
        <vt:lpwstr/>
      </vt:variant>
      <vt:variant>
        <vt:i4>2293873</vt:i4>
      </vt:variant>
      <vt:variant>
        <vt:i4>66</vt:i4>
      </vt:variant>
      <vt:variant>
        <vt:i4>0</vt:i4>
      </vt:variant>
      <vt:variant>
        <vt:i4>5</vt:i4>
      </vt:variant>
      <vt:variant>
        <vt:lpwstr>http://www.ncbi.nlm.nih.gov/pubmed?term=%2522Iacobelli%20M%2522%255BAuthor%255D</vt:lpwstr>
      </vt:variant>
      <vt:variant>
        <vt:lpwstr/>
      </vt:variant>
      <vt:variant>
        <vt:i4>6291500</vt:i4>
      </vt:variant>
      <vt:variant>
        <vt:i4>63</vt:i4>
      </vt:variant>
      <vt:variant>
        <vt:i4>0</vt:i4>
      </vt:variant>
      <vt:variant>
        <vt:i4>5</vt:i4>
      </vt:variant>
      <vt:variant>
        <vt:lpwstr>http://www.ncbi.nlm.nih.gov/pubmed?term=%2522Wei%20LJ%2522%255BAuthor%255D</vt:lpwstr>
      </vt:variant>
      <vt:variant>
        <vt:lpwstr/>
      </vt:variant>
      <vt:variant>
        <vt:i4>6160393</vt:i4>
      </vt:variant>
      <vt:variant>
        <vt:i4>60</vt:i4>
      </vt:variant>
      <vt:variant>
        <vt:i4>0</vt:i4>
      </vt:variant>
      <vt:variant>
        <vt:i4>5</vt:i4>
      </vt:variant>
      <vt:variant>
        <vt:lpwstr>http://www.ncbi.nlm.nih.gov/pubmed?term=%2522Bradwin%20G%2522%255BAuthor%255D</vt:lpwstr>
      </vt:variant>
      <vt:variant>
        <vt:lpwstr/>
      </vt:variant>
      <vt:variant>
        <vt:i4>5505045</vt:i4>
      </vt:variant>
      <vt:variant>
        <vt:i4>57</vt:i4>
      </vt:variant>
      <vt:variant>
        <vt:i4>0</vt:i4>
      </vt:variant>
      <vt:variant>
        <vt:i4>5</vt:i4>
      </vt:variant>
      <vt:variant>
        <vt:lpwstr>http://www.ncbi.nlm.nih.gov/pubmed?term=%2522Momtaz%20P%2522%255BAuthor%255D</vt:lpwstr>
      </vt:variant>
      <vt:variant>
        <vt:lpwstr/>
      </vt:variant>
      <vt:variant>
        <vt:i4>5570589</vt:i4>
      </vt:variant>
      <vt:variant>
        <vt:i4>54</vt:i4>
      </vt:variant>
      <vt:variant>
        <vt:i4>0</vt:i4>
      </vt:variant>
      <vt:variant>
        <vt:i4>5</vt:i4>
      </vt:variant>
      <vt:variant>
        <vt:lpwstr>http://www.ncbi.nlm.nih.gov/pubmed?term=%2522Warren%20D%2522%255BAuthor%255D</vt:lpwstr>
      </vt:variant>
      <vt:variant>
        <vt:lpwstr/>
      </vt:variant>
      <vt:variant>
        <vt:i4>2424935</vt:i4>
      </vt:variant>
      <vt:variant>
        <vt:i4>51</vt:i4>
      </vt:variant>
      <vt:variant>
        <vt:i4>0</vt:i4>
      </vt:variant>
      <vt:variant>
        <vt:i4>5</vt:i4>
      </vt:variant>
      <vt:variant>
        <vt:lpwstr>http://www.ncbi.nlm.nih.gov/pubmed?term=%2522Revta%20C%2522%255BAuthor%255D</vt:lpwstr>
      </vt:variant>
      <vt:variant>
        <vt:lpwstr/>
      </vt:variant>
      <vt:variant>
        <vt:i4>786462</vt:i4>
      </vt:variant>
      <vt:variant>
        <vt:i4>48</vt:i4>
      </vt:variant>
      <vt:variant>
        <vt:i4>0</vt:i4>
      </vt:variant>
      <vt:variant>
        <vt:i4>5</vt:i4>
      </vt:variant>
      <vt:variant>
        <vt:lpwstr>http://www.ncbi.nlm.nih.gov/pubmed?term=%2522Di%20Salvo%20DN%2522%255BAuthor%255D</vt:lpwstr>
      </vt:variant>
      <vt:variant>
        <vt:lpwstr/>
      </vt:variant>
      <vt:variant>
        <vt:i4>8323115</vt:i4>
      </vt:variant>
      <vt:variant>
        <vt:i4>45</vt:i4>
      </vt:variant>
      <vt:variant>
        <vt:i4>0</vt:i4>
      </vt:variant>
      <vt:variant>
        <vt:i4>5</vt:i4>
      </vt:variant>
      <vt:variant>
        <vt:lpwstr>http://www.ncbi.nlm.nih.gov/pubmed?term=%2522Shulman%20HM%2522%255BAuthor%255D</vt:lpwstr>
      </vt:variant>
      <vt:variant>
        <vt:lpwstr/>
      </vt:variant>
      <vt:variant>
        <vt:i4>7602224</vt:i4>
      </vt:variant>
      <vt:variant>
        <vt:i4>42</vt:i4>
      </vt:variant>
      <vt:variant>
        <vt:i4>0</vt:i4>
      </vt:variant>
      <vt:variant>
        <vt:i4>5</vt:i4>
      </vt:variant>
      <vt:variant>
        <vt:lpwstr>http://www.ncbi.nlm.nih.gov/pubmed?term=%2522Spitzer%20TR%2522%255BAuthor%255D</vt:lpwstr>
      </vt:variant>
      <vt:variant>
        <vt:lpwstr/>
      </vt:variant>
      <vt:variant>
        <vt:i4>524362</vt:i4>
      </vt:variant>
      <vt:variant>
        <vt:i4>39</vt:i4>
      </vt:variant>
      <vt:variant>
        <vt:i4>0</vt:i4>
      </vt:variant>
      <vt:variant>
        <vt:i4>5</vt:i4>
      </vt:variant>
      <vt:variant>
        <vt:lpwstr>http://www.ncbi.nlm.nih.gov/pubmed?term=%2522Avigan%20DE%2522%255BAuthor%255D</vt:lpwstr>
      </vt:variant>
      <vt:variant>
        <vt:lpwstr/>
      </vt:variant>
      <vt:variant>
        <vt:i4>1900634</vt:i4>
      </vt:variant>
      <vt:variant>
        <vt:i4>36</vt:i4>
      </vt:variant>
      <vt:variant>
        <vt:i4>0</vt:i4>
      </vt:variant>
      <vt:variant>
        <vt:i4>5</vt:i4>
      </vt:variant>
      <vt:variant>
        <vt:lpwstr>http://www.ncbi.nlm.nih.gov/pubmed?term=%2522Kernan%20NA%2522%255BAuthor%255D</vt:lpwstr>
      </vt:variant>
      <vt:variant>
        <vt:lpwstr/>
      </vt:variant>
      <vt:variant>
        <vt:i4>4063332</vt:i4>
      </vt:variant>
      <vt:variant>
        <vt:i4>33</vt:i4>
      </vt:variant>
      <vt:variant>
        <vt:i4>0</vt:i4>
      </vt:variant>
      <vt:variant>
        <vt:i4>5</vt:i4>
      </vt:variant>
      <vt:variant>
        <vt:lpwstr>http://www.ncbi.nlm.nih.gov/pubmed?term=%2522Krishnan%20A%2522%255BAuthor%255D</vt:lpwstr>
      </vt:variant>
      <vt:variant>
        <vt:lpwstr/>
      </vt:variant>
      <vt:variant>
        <vt:i4>7340086</vt:i4>
      </vt:variant>
      <vt:variant>
        <vt:i4>30</vt:i4>
      </vt:variant>
      <vt:variant>
        <vt:i4>0</vt:i4>
      </vt:variant>
      <vt:variant>
        <vt:i4>5</vt:i4>
      </vt:variant>
      <vt:variant>
        <vt:lpwstr>http://www.ncbi.nlm.nih.gov/pubmed?term=%2522Chen%20AR%2522%255BAuthor%255D</vt:lpwstr>
      </vt:variant>
      <vt:variant>
        <vt:lpwstr/>
      </vt:variant>
      <vt:variant>
        <vt:i4>917590</vt:i4>
      </vt:variant>
      <vt:variant>
        <vt:i4>27</vt:i4>
      </vt:variant>
      <vt:variant>
        <vt:i4>0</vt:i4>
      </vt:variant>
      <vt:variant>
        <vt:i4>5</vt:i4>
      </vt:variant>
      <vt:variant>
        <vt:lpwstr>http://www.ncbi.nlm.nih.gov/pubmed?term=%2522Vogelsang%20GB%2522%255BAuthor%255D</vt:lpwstr>
      </vt:variant>
      <vt:variant>
        <vt:lpwstr/>
      </vt:variant>
      <vt:variant>
        <vt:i4>1835076</vt:i4>
      </vt:variant>
      <vt:variant>
        <vt:i4>24</vt:i4>
      </vt:variant>
      <vt:variant>
        <vt:i4>0</vt:i4>
      </vt:variant>
      <vt:variant>
        <vt:i4>5</vt:i4>
      </vt:variant>
      <vt:variant>
        <vt:lpwstr>http://www.ncbi.nlm.nih.gov/pubmed?term=%2522Murray%20KF%2522%255BAuthor%255D</vt:lpwstr>
      </vt:variant>
      <vt:variant>
        <vt:lpwstr/>
      </vt:variant>
      <vt:variant>
        <vt:i4>3473514</vt:i4>
      </vt:variant>
      <vt:variant>
        <vt:i4>21</vt:i4>
      </vt:variant>
      <vt:variant>
        <vt:i4>0</vt:i4>
      </vt:variant>
      <vt:variant>
        <vt:i4>5</vt:i4>
      </vt:variant>
      <vt:variant>
        <vt:lpwstr>http://www.ncbi.nlm.nih.gov/pubmed?term=%2522Steinbach%20G%2522%255BAuthor%255D</vt:lpwstr>
      </vt:variant>
      <vt:variant>
        <vt:lpwstr/>
      </vt:variant>
      <vt:variant>
        <vt:i4>1966170</vt:i4>
      </vt:variant>
      <vt:variant>
        <vt:i4>18</vt:i4>
      </vt:variant>
      <vt:variant>
        <vt:i4>0</vt:i4>
      </vt:variant>
      <vt:variant>
        <vt:i4>5</vt:i4>
      </vt:variant>
      <vt:variant>
        <vt:lpwstr>http://www.ncbi.nlm.nih.gov/pubmed?term=%2522Martin%20PL%2522%255BAuthor%255D</vt:lpwstr>
      </vt:variant>
      <vt:variant>
        <vt:lpwstr/>
      </vt:variant>
      <vt:variant>
        <vt:i4>2621543</vt:i4>
      </vt:variant>
      <vt:variant>
        <vt:i4>15</vt:i4>
      </vt:variant>
      <vt:variant>
        <vt:i4>0</vt:i4>
      </vt:variant>
      <vt:variant>
        <vt:i4>5</vt:i4>
      </vt:variant>
      <vt:variant>
        <vt:lpwstr>http://www.ncbi.nlm.nih.gov/pubmed?term=%2522Kurtzberg%20J%2522%255BAuthor%255D</vt:lpwstr>
      </vt:variant>
      <vt:variant>
        <vt:lpwstr/>
      </vt:variant>
      <vt:variant>
        <vt:i4>6094879</vt:i4>
      </vt:variant>
      <vt:variant>
        <vt:i4>12</vt:i4>
      </vt:variant>
      <vt:variant>
        <vt:i4>0</vt:i4>
      </vt:variant>
      <vt:variant>
        <vt:i4>5</vt:i4>
      </vt:variant>
      <vt:variant>
        <vt:lpwstr>http://www.ncbi.nlm.nih.gov/pubmed?term=%2522Jin%20Z%2522%255BAuthor%255D</vt:lpwstr>
      </vt:variant>
      <vt:variant>
        <vt:lpwstr/>
      </vt:variant>
      <vt:variant>
        <vt:i4>5308440</vt:i4>
      </vt:variant>
      <vt:variant>
        <vt:i4>9</vt:i4>
      </vt:variant>
      <vt:variant>
        <vt:i4>0</vt:i4>
      </vt:variant>
      <vt:variant>
        <vt:i4>5</vt:i4>
      </vt:variant>
      <vt:variant>
        <vt:lpwstr>http://www.ncbi.nlm.nih.gov/pubmed?term=%2522Uno%20H%2522%255BAuthor%255D</vt:lpwstr>
      </vt:variant>
      <vt:variant>
        <vt:lpwstr/>
      </vt:variant>
      <vt:variant>
        <vt:i4>196684</vt:i4>
      </vt:variant>
      <vt:variant>
        <vt:i4>6</vt:i4>
      </vt:variant>
      <vt:variant>
        <vt:i4>0</vt:i4>
      </vt:variant>
      <vt:variant>
        <vt:i4>5</vt:i4>
      </vt:variant>
      <vt:variant>
        <vt:lpwstr>http://www.ncbi.nlm.nih.gov/pubmed?term=%2522Antin%20JH%2522%255BAuthor%255D</vt:lpwstr>
      </vt:variant>
      <vt:variant>
        <vt:lpwstr/>
      </vt:variant>
      <vt:variant>
        <vt:i4>7208997</vt:i4>
      </vt:variant>
      <vt:variant>
        <vt:i4>3</vt:i4>
      </vt:variant>
      <vt:variant>
        <vt:i4>0</vt:i4>
      </vt:variant>
      <vt:variant>
        <vt:i4>5</vt:i4>
      </vt:variant>
      <vt:variant>
        <vt:lpwstr>http://www.ncbi.nlm.nih.gov/pubmed?term=%2522Soiffer%20RJ%2522%255BAuthor%255D</vt:lpwstr>
      </vt:variant>
      <vt:variant>
        <vt:lpwstr/>
      </vt:variant>
      <vt:variant>
        <vt:i4>1572943</vt:i4>
      </vt:variant>
      <vt:variant>
        <vt:i4>0</vt:i4>
      </vt:variant>
      <vt:variant>
        <vt:i4>0</vt:i4>
      </vt:variant>
      <vt:variant>
        <vt:i4>5</vt:i4>
      </vt:variant>
      <vt:variant>
        <vt:lpwstr>http://www.ncbi.nlm.nih.gov/pubmed?term=%2522Richardson%20PG%2522%255BAuthor%255D</vt:lpwstr>
      </vt:variant>
      <vt:variant>
        <vt:lpwstr/>
      </vt:variant>
      <vt:variant>
        <vt:i4>1245300</vt:i4>
      </vt:variant>
      <vt:variant>
        <vt:i4>0</vt:i4>
      </vt:variant>
      <vt:variant>
        <vt:i4>0</vt:i4>
      </vt:variant>
      <vt:variant>
        <vt:i4>5</vt:i4>
      </vt:variant>
      <vt:variant>
        <vt:lpwstr>http://www.dgho.de/_cmsdata/_cache/cms_19.html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 NUB Antrag DE Produktname Zieljahr Projektnummer</dc:title>
  <dc:creator>Lisa Koller</dc:creator>
  <cp:lastModifiedBy>Lisa Koller</cp:lastModifiedBy>
  <cp:revision>2</cp:revision>
  <cp:lastPrinted>2018-09-12T17:24:00Z</cp:lastPrinted>
  <dcterms:created xsi:type="dcterms:W3CDTF">2018-09-28T06:38:00Z</dcterms:created>
  <dcterms:modified xsi:type="dcterms:W3CDTF">2018-09-28T06:38:00Z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0x0101006F1FEE92BAEBEC4DA4327270FD32F877</vt:lpwstr>
  </property>
</Properties>
</file>